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79A5" w14:textId="6ECEBB7B" w:rsidR="003B35C9" w:rsidRPr="00D551CC" w:rsidRDefault="00911111" w:rsidP="00911111">
      <w:pPr>
        <w:pStyle w:val="Heading1"/>
        <w:jc w:val="center"/>
        <w:rPr>
          <w:rFonts w:eastAsia="Calibri"/>
          <w:sz w:val="32"/>
          <w:szCs w:val="24"/>
          <w:u w:val="single"/>
        </w:rPr>
      </w:pPr>
      <w:r w:rsidRPr="003E4626">
        <w:rPr>
          <w:rFonts w:eastAsia="Calibri"/>
          <w:sz w:val="32"/>
          <w:szCs w:val="24"/>
        </w:rPr>
        <w:t xml:space="preserve">            </w:t>
      </w:r>
      <w:r w:rsidR="003B35C9" w:rsidRPr="003E4626">
        <w:rPr>
          <w:rFonts w:eastAsia="Calibri"/>
          <w:sz w:val="32"/>
          <w:szCs w:val="24"/>
          <w:u w:val="single"/>
        </w:rPr>
        <w:t>Overview</w:t>
      </w:r>
    </w:p>
    <w:p w14:paraId="30989988" w14:textId="7694BA8C" w:rsidR="005D60DF" w:rsidRDefault="007E6692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ICH-GCP E6 (R3) </w:t>
      </w:r>
      <w:r w:rsidRPr="007E6692">
        <w:rPr>
          <w:rFonts w:eastAsia="Calibri"/>
          <w:iCs/>
          <w:sz w:val="24"/>
          <w:szCs w:val="24"/>
        </w:rPr>
        <w:t xml:space="preserve">introduces the term </w:t>
      </w:r>
      <w:r w:rsidRPr="007E6692">
        <w:rPr>
          <w:rFonts w:eastAsia="Calibri"/>
          <w:b/>
          <w:bCs/>
          <w:iCs/>
          <w:sz w:val="24"/>
          <w:szCs w:val="24"/>
        </w:rPr>
        <w:t>service provider</w:t>
      </w:r>
      <w:r w:rsidRPr="007E6692">
        <w:rPr>
          <w:rFonts w:eastAsia="Calibri"/>
          <w:iCs/>
          <w:sz w:val="24"/>
          <w:szCs w:val="24"/>
        </w:rPr>
        <w:t xml:space="preserve"> to encompass any </w:t>
      </w:r>
      <w:proofErr w:type="gramStart"/>
      <w:r w:rsidRPr="007E6692">
        <w:rPr>
          <w:rFonts w:eastAsia="Calibri"/>
          <w:iCs/>
          <w:sz w:val="24"/>
          <w:szCs w:val="24"/>
        </w:rPr>
        <w:t>third party</w:t>
      </w:r>
      <w:proofErr w:type="gramEnd"/>
      <w:r w:rsidRPr="007E6692">
        <w:rPr>
          <w:rFonts w:eastAsia="Calibri"/>
          <w:iCs/>
          <w:sz w:val="24"/>
          <w:szCs w:val="24"/>
        </w:rPr>
        <w:t xml:space="preserve"> performing trial-related activities on behalf of sponsors or investigators.</w:t>
      </w:r>
      <w:r w:rsidR="006949A8">
        <w:rPr>
          <w:rFonts w:eastAsia="Calibri"/>
          <w:iCs/>
          <w:sz w:val="24"/>
          <w:szCs w:val="24"/>
        </w:rPr>
        <w:t xml:space="preserve"> Service providers include central laboratories, data management vendors, </w:t>
      </w:r>
      <w:r w:rsidR="00794BBA">
        <w:rPr>
          <w:rFonts w:eastAsia="Calibri"/>
          <w:iCs/>
          <w:sz w:val="24"/>
          <w:szCs w:val="24"/>
        </w:rPr>
        <w:t xml:space="preserve">and electronic system vendors. </w:t>
      </w:r>
      <w:r w:rsidR="006949A8" w:rsidRPr="006949A8">
        <w:rPr>
          <w:rFonts w:eastAsia="Calibri"/>
          <w:iCs/>
          <w:sz w:val="24"/>
          <w:szCs w:val="24"/>
        </w:rPr>
        <w:t xml:space="preserve">This </w:t>
      </w:r>
      <w:r w:rsidR="00794BBA">
        <w:rPr>
          <w:rFonts w:eastAsia="Calibri"/>
          <w:iCs/>
          <w:sz w:val="24"/>
          <w:szCs w:val="24"/>
        </w:rPr>
        <w:t xml:space="preserve">shift </w:t>
      </w:r>
      <w:r w:rsidR="006949A8" w:rsidRPr="006949A8">
        <w:rPr>
          <w:rFonts w:eastAsia="Calibri"/>
          <w:iCs/>
          <w:sz w:val="24"/>
          <w:szCs w:val="24"/>
        </w:rPr>
        <w:t>reflects the modern clinical trial environment where many specialized vendors support trial operations and data systems.</w:t>
      </w:r>
    </w:p>
    <w:p w14:paraId="6DA8B091" w14:textId="66BF3EF8" w:rsidR="008F367B" w:rsidRDefault="0069261F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59FBD" wp14:editId="4F77260E">
            <wp:simplePos x="0" y="0"/>
            <wp:positionH relativeFrom="column">
              <wp:posOffset>1531620</wp:posOffset>
            </wp:positionH>
            <wp:positionV relativeFrom="paragraph">
              <wp:posOffset>50800</wp:posOffset>
            </wp:positionV>
            <wp:extent cx="3099435" cy="2361565"/>
            <wp:effectExtent l="0" t="0" r="5715" b="635"/>
            <wp:wrapSquare wrapText="bothSides"/>
            <wp:docPr id="1586924396" name="Picture 7" descr="ICH E6 R2 supplier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CH E6 R2 supplier manag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0" r="15353" b="8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4BD69" w14:textId="509E5F6A" w:rsidR="008F367B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6E0DB57C" w14:textId="5E4BAB53" w:rsidR="008F367B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37E3A911" w14:textId="317E2B2A" w:rsidR="008F367B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44AA517F" w14:textId="77777777" w:rsidR="008F367B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4857771F" w14:textId="77777777" w:rsidR="008F367B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3FF6901E" w14:textId="77777777" w:rsidR="008F367B" w:rsidRPr="00D551CC" w:rsidRDefault="008F367B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</w:p>
    <w:p w14:paraId="3E5D9F63" w14:textId="2DE6EE93" w:rsidR="00D551CC" w:rsidRPr="00D551CC" w:rsidRDefault="00D551CC" w:rsidP="00911111">
      <w:pPr>
        <w:pStyle w:val="Heading1"/>
        <w:rPr>
          <w:rFonts w:eastAsia="Calibri"/>
          <w:sz w:val="28"/>
          <w:szCs w:val="22"/>
          <w:u w:val="single"/>
        </w:rPr>
      </w:pPr>
    </w:p>
    <w:p w14:paraId="4DA518D2" w14:textId="66A34208" w:rsidR="00911111" w:rsidRPr="00D551CC" w:rsidRDefault="00914A95" w:rsidP="00911111">
      <w:pPr>
        <w:pStyle w:val="Heading1"/>
        <w:rPr>
          <w:rFonts w:eastAsia="Calibri"/>
          <w:sz w:val="28"/>
          <w:szCs w:val="22"/>
          <w:u w:val="single"/>
        </w:rPr>
      </w:pPr>
      <w:r>
        <w:rPr>
          <w:rFonts w:eastAsia="Calibri"/>
          <w:sz w:val="28"/>
          <w:szCs w:val="22"/>
          <w:u w:val="single"/>
        </w:rPr>
        <w:t>Key Takeaways</w:t>
      </w:r>
    </w:p>
    <w:p w14:paraId="112DBE67" w14:textId="77777777" w:rsidR="00911111" w:rsidRPr="00D551CC" w:rsidRDefault="00911111" w:rsidP="00911111">
      <w:pPr>
        <w:rPr>
          <w:rFonts w:eastAsia="Calibri"/>
        </w:rPr>
      </w:pPr>
    </w:p>
    <w:p w14:paraId="11799D37" w14:textId="09027732" w:rsidR="005F0350" w:rsidRPr="001A1A65" w:rsidRDefault="00D250D0" w:rsidP="00D250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A1A65">
        <w:rPr>
          <w:rFonts w:ascii="Times New Roman" w:hAnsi="Times New Roman" w:cs="Times New Roman"/>
          <w:b/>
          <w:bCs/>
        </w:rPr>
        <w:t>Responsibility:</w:t>
      </w:r>
      <w:r w:rsidR="00914A95" w:rsidRPr="001A1A65">
        <w:rPr>
          <w:rFonts w:ascii="Times New Roman" w:hAnsi="Times New Roman" w:cs="Times New Roman"/>
        </w:rPr>
        <w:t xml:space="preserve"> </w:t>
      </w:r>
      <w:r w:rsidR="00176587">
        <w:rPr>
          <w:rFonts w:ascii="Times New Roman" w:hAnsi="Times New Roman" w:cs="Times New Roman"/>
        </w:rPr>
        <w:t>S</w:t>
      </w:r>
      <w:r w:rsidR="00550C93" w:rsidRPr="001A1A65">
        <w:rPr>
          <w:rFonts w:ascii="Times New Roman" w:hAnsi="Times New Roman" w:cs="Times New Roman"/>
        </w:rPr>
        <w:t>ponsors</w:t>
      </w:r>
      <w:r w:rsidR="00550C93" w:rsidRPr="001A1A65">
        <w:rPr>
          <w:rFonts w:ascii="Times New Roman" w:hAnsi="Times New Roman" w:cs="Times New Roman"/>
        </w:rPr>
        <w:t>/</w:t>
      </w:r>
      <w:r w:rsidR="00550C93" w:rsidRPr="001A1A65">
        <w:rPr>
          <w:rFonts w:ascii="Times New Roman" w:hAnsi="Times New Roman" w:cs="Times New Roman"/>
        </w:rPr>
        <w:t xml:space="preserve">investigators may delegate trial activities to service providers, </w:t>
      </w:r>
      <w:r w:rsidR="00176587">
        <w:rPr>
          <w:rFonts w:ascii="Times New Roman" w:hAnsi="Times New Roman" w:cs="Times New Roman"/>
        </w:rPr>
        <w:t>but</w:t>
      </w:r>
      <w:r w:rsidR="00550C93" w:rsidRPr="001A1A65">
        <w:rPr>
          <w:rFonts w:ascii="Times New Roman" w:hAnsi="Times New Roman" w:cs="Times New Roman"/>
        </w:rPr>
        <w:t xml:space="preserve"> retain ultimate responsibility for trial conduct, participant safety, and data integrity. </w:t>
      </w:r>
    </w:p>
    <w:p w14:paraId="7CBDB60C" w14:textId="77777777" w:rsidR="001A1A65" w:rsidRPr="001A1A65" w:rsidRDefault="00D250D0" w:rsidP="001A1A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A1A65">
        <w:rPr>
          <w:rFonts w:ascii="Times New Roman" w:hAnsi="Times New Roman" w:cs="Times New Roman"/>
          <w:b/>
          <w:bCs/>
        </w:rPr>
        <w:t>Oversight:</w:t>
      </w:r>
      <w:r w:rsidRPr="001A1A65">
        <w:rPr>
          <w:rFonts w:ascii="Times New Roman" w:hAnsi="Times New Roman" w:cs="Times New Roman"/>
        </w:rPr>
        <w:t xml:space="preserve"> </w:t>
      </w:r>
      <w:r w:rsidR="00EA5FC9" w:rsidRPr="001A1A65">
        <w:rPr>
          <w:rFonts w:ascii="Times New Roman" w:hAnsi="Times New Roman" w:cs="Times New Roman"/>
        </w:rPr>
        <w:t xml:space="preserve">E6(R3) emphasizes </w:t>
      </w:r>
      <w:r w:rsidR="00EA5FC9" w:rsidRPr="00176587">
        <w:rPr>
          <w:rFonts w:ascii="Times New Roman" w:hAnsi="Times New Roman" w:cs="Times New Roman"/>
        </w:rPr>
        <w:t>risk-based oversight of service</w:t>
      </w:r>
      <w:r w:rsidR="00EA5FC9" w:rsidRPr="001A1A65">
        <w:rPr>
          <w:rFonts w:ascii="Times New Roman" w:hAnsi="Times New Roman" w:cs="Times New Roman"/>
          <w:b/>
          <w:bCs/>
        </w:rPr>
        <w:t xml:space="preserve"> </w:t>
      </w:r>
      <w:r w:rsidR="00EA5FC9" w:rsidRPr="00176587">
        <w:rPr>
          <w:rFonts w:ascii="Times New Roman" w:hAnsi="Times New Roman" w:cs="Times New Roman"/>
        </w:rPr>
        <w:t xml:space="preserve">providers </w:t>
      </w:r>
      <w:r w:rsidR="00EA5FC9" w:rsidRPr="001A1A65">
        <w:rPr>
          <w:rFonts w:ascii="Times New Roman" w:hAnsi="Times New Roman" w:cs="Times New Roman"/>
        </w:rPr>
        <w:t>throughout the trial lifecycle.</w:t>
      </w:r>
      <w:r w:rsidR="00EA5FC9" w:rsidRPr="001A1A65">
        <w:rPr>
          <w:rFonts w:ascii="Times New Roman" w:hAnsi="Times New Roman" w:cs="Times New Roman"/>
        </w:rPr>
        <w:t xml:space="preserve"> S</w:t>
      </w:r>
      <w:r w:rsidR="001A1A65" w:rsidRPr="001A1A65">
        <w:rPr>
          <w:rFonts w:ascii="Times New Roman" w:hAnsi="Times New Roman" w:cs="Times New Roman"/>
        </w:rPr>
        <w:t xml:space="preserve">ponsors should: </w:t>
      </w:r>
    </w:p>
    <w:p w14:paraId="6F08F214" w14:textId="77777777" w:rsidR="001A1A65" w:rsidRPr="001A1A65" w:rsidRDefault="001A1A65" w:rsidP="001A1A6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A1A65">
        <w:rPr>
          <w:rFonts w:ascii="Times New Roman" w:hAnsi="Times New Roman" w:cs="Times New Roman"/>
        </w:rPr>
        <w:t>Evaluate and qualify service providers before engagement</w:t>
      </w:r>
    </w:p>
    <w:p w14:paraId="77F1F1EA" w14:textId="7EF8B044" w:rsidR="001A1A65" w:rsidRPr="001A1A65" w:rsidRDefault="001A1A65" w:rsidP="001A1A6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A1A65">
        <w:rPr>
          <w:rFonts w:ascii="Times New Roman" w:hAnsi="Times New Roman" w:cs="Times New Roman"/>
        </w:rPr>
        <w:t xml:space="preserve">Monitor performance and compliance </w:t>
      </w:r>
      <w:r w:rsidR="00363255">
        <w:rPr>
          <w:rFonts w:ascii="Times New Roman" w:hAnsi="Times New Roman" w:cs="Times New Roman"/>
        </w:rPr>
        <w:t xml:space="preserve">of services </w:t>
      </w:r>
      <w:r w:rsidRPr="001A1A65">
        <w:rPr>
          <w:rFonts w:ascii="Times New Roman" w:hAnsi="Times New Roman" w:cs="Times New Roman"/>
        </w:rPr>
        <w:t>during the trial</w:t>
      </w:r>
    </w:p>
    <w:p w14:paraId="27C5E868" w14:textId="7C1AC3C7" w:rsidR="001A1A65" w:rsidRPr="001A1A65" w:rsidRDefault="00363255" w:rsidP="001A1A6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 processes for </w:t>
      </w:r>
      <w:r w:rsidR="001A1A65" w:rsidRPr="001A1A65">
        <w:rPr>
          <w:rFonts w:ascii="Times New Roman" w:hAnsi="Times New Roman" w:cs="Times New Roman"/>
        </w:rPr>
        <w:t>communication and escalation</w:t>
      </w:r>
    </w:p>
    <w:p w14:paraId="3A652513" w14:textId="35E5A55B" w:rsidR="001A1A65" w:rsidRPr="00923D08" w:rsidRDefault="001A1A65" w:rsidP="000803C1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</w:rPr>
        <w:t>Ensure issues affecting participant safety or data integrity are addressed promptly</w:t>
      </w:r>
    </w:p>
    <w:p w14:paraId="0B18C587" w14:textId="77777777" w:rsidR="00923D08" w:rsidRPr="00923D08" w:rsidRDefault="00CB66E3" w:rsidP="00923D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  <w:b/>
          <w:bCs/>
        </w:rPr>
        <w:t>Agreements:</w:t>
      </w:r>
      <w:r w:rsidRPr="00923D08">
        <w:rPr>
          <w:rFonts w:ascii="Times New Roman" w:hAnsi="Times New Roman" w:cs="Times New Roman"/>
        </w:rPr>
        <w:t xml:space="preserve"> E6(R3) requires formal agreements between sponsors and service providers.</w:t>
      </w:r>
      <w:r w:rsidR="00923D08" w:rsidRPr="00923D08">
        <w:rPr>
          <w:rFonts w:ascii="Times New Roman" w:hAnsi="Times New Roman" w:cs="Times New Roman"/>
        </w:rPr>
        <w:t xml:space="preserve"> </w:t>
      </w:r>
      <w:r w:rsidR="00923D08" w:rsidRPr="00923D08">
        <w:rPr>
          <w:rFonts w:ascii="Times New Roman" w:hAnsi="Times New Roman" w:cs="Times New Roman"/>
        </w:rPr>
        <w:t>Agreements should:</w:t>
      </w:r>
    </w:p>
    <w:p w14:paraId="57709ACA" w14:textId="77777777" w:rsidR="00923D08" w:rsidRPr="00923D08" w:rsidRDefault="00923D08" w:rsidP="00923D0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</w:rPr>
        <w:t>Be documented prior to initiating activities</w:t>
      </w:r>
    </w:p>
    <w:p w14:paraId="3A692072" w14:textId="77777777" w:rsidR="00923D08" w:rsidRPr="00923D08" w:rsidRDefault="00923D08" w:rsidP="00923D0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</w:rPr>
        <w:t>Clearly define roles, responsibilities, and delegated tasks</w:t>
      </w:r>
    </w:p>
    <w:p w14:paraId="409EB7E0" w14:textId="70F4169A" w:rsidR="00923D08" w:rsidRPr="00923D08" w:rsidRDefault="00923D08" w:rsidP="00923D0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</w:rPr>
        <w:t xml:space="preserve">Require compliance with </w:t>
      </w:r>
      <w:r w:rsidR="00DA57A1">
        <w:rPr>
          <w:rFonts w:ascii="Times New Roman" w:hAnsi="Times New Roman" w:cs="Times New Roman"/>
        </w:rPr>
        <w:t>Good Clinical Practice (</w:t>
      </w:r>
      <w:r w:rsidRPr="00923D08">
        <w:rPr>
          <w:rFonts w:ascii="Times New Roman" w:hAnsi="Times New Roman" w:cs="Times New Roman"/>
        </w:rPr>
        <w:t>GCP</w:t>
      </w:r>
      <w:r w:rsidR="00DA57A1">
        <w:rPr>
          <w:rFonts w:ascii="Times New Roman" w:hAnsi="Times New Roman" w:cs="Times New Roman"/>
        </w:rPr>
        <w:t>)</w:t>
      </w:r>
      <w:r w:rsidRPr="00923D08">
        <w:rPr>
          <w:rFonts w:ascii="Times New Roman" w:hAnsi="Times New Roman" w:cs="Times New Roman"/>
        </w:rPr>
        <w:t xml:space="preserve"> and </w:t>
      </w:r>
      <w:r w:rsidR="00575B9A">
        <w:rPr>
          <w:rFonts w:ascii="Times New Roman" w:hAnsi="Times New Roman" w:cs="Times New Roman"/>
        </w:rPr>
        <w:t xml:space="preserve">trial </w:t>
      </w:r>
      <w:r w:rsidRPr="00923D08">
        <w:rPr>
          <w:rFonts w:ascii="Times New Roman" w:hAnsi="Times New Roman" w:cs="Times New Roman"/>
        </w:rPr>
        <w:t xml:space="preserve">protocol </w:t>
      </w:r>
    </w:p>
    <w:p w14:paraId="034C90E1" w14:textId="046864CC" w:rsidR="00923D08" w:rsidRPr="00923D08" w:rsidRDefault="00923D08" w:rsidP="00923D0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923D08">
        <w:rPr>
          <w:rFonts w:ascii="Times New Roman" w:hAnsi="Times New Roman" w:cs="Times New Roman"/>
        </w:rPr>
        <w:t xml:space="preserve">Include mechanisms for communication and </w:t>
      </w:r>
      <w:r w:rsidR="003B5139">
        <w:rPr>
          <w:rFonts w:ascii="Times New Roman" w:hAnsi="Times New Roman" w:cs="Times New Roman"/>
        </w:rPr>
        <w:t>incident reporting (</w:t>
      </w:r>
      <w:r w:rsidR="00DC3B6B">
        <w:rPr>
          <w:rFonts w:ascii="Times New Roman" w:hAnsi="Times New Roman" w:cs="Times New Roman"/>
        </w:rPr>
        <w:t>e.g., affecting participant safety or trial reliability).</w:t>
      </w:r>
    </w:p>
    <w:p w14:paraId="49D89F81" w14:textId="0B02E9D1" w:rsidR="00CB66E3" w:rsidRPr="000803C1" w:rsidRDefault="00885244" w:rsidP="00CB66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A0F93">
        <w:rPr>
          <w:rFonts w:ascii="Times New Roman" w:hAnsi="Times New Roman" w:cs="Times New Roman"/>
          <w:b/>
          <w:bCs/>
        </w:rPr>
        <w:t>Quality Management Systems:</w:t>
      </w:r>
      <w:r>
        <w:rPr>
          <w:rFonts w:ascii="Times New Roman" w:hAnsi="Times New Roman" w:cs="Times New Roman"/>
        </w:rPr>
        <w:t xml:space="preserve"> </w:t>
      </w:r>
      <w:r w:rsidR="00FA0F93" w:rsidRPr="00FA0F93">
        <w:rPr>
          <w:rFonts w:ascii="Times New Roman" w:hAnsi="Times New Roman" w:cs="Times New Roman"/>
        </w:rPr>
        <w:t>Sponsors should evaluate whether the service provider’s quality systems are adequate for the delegated responsibilities</w:t>
      </w:r>
      <w:r w:rsidR="004E5879">
        <w:rPr>
          <w:rFonts w:ascii="Times New Roman" w:hAnsi="Times New Roman" w:cs="Times New Roman"/>
        </w:rPr>
        <w:t>, including change control and issue management, data integrity protections, and personnel training.</w:t>
      </w:r>
    </w:p>
    <w:p w14:paraId="6DA5FFFA" w14:textId="3F5C1D02" w:rsidR="00157896" w:rsidRPr="0087503B" w:rsidRDefault="00157896" w:rsidP="00885244">
      <w:pPr>
        <w:pStyle w:val="ListParagraph"/>
        <w:ind w:left="1440"/>
        <w:rPr>
          <w:rFonts w:ascii="Times New Roman" w:hAnsi="Times New Roman" w:cs="Times New Roman"/>
        </w:rPr>
      </w:pPr>
    </w:p>
    <w:sectPr w:rsidR="00157896" w:rsidRPr="0087503B" w:rsidSect="003B35C9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37CE" w14:textId="77777777" w:rsidR="0022574A" w:rsidRDefault="0022574A">
      <w:r>
        <w:separator/>
      </w:r>
    </w:p>
  </w:endnote>
  <w:endnote w:type="continuationSeparator" w:id="0">
    <w:p w14:paraId="4A55D0F5" w14:textId="77777777" w:rsidR="0022574A" w:rsidRDefault="002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58D" w14:textId="7EB2D119" w:rsidR="001F153C" w:rsidRPr="008A0B17" w:rsidRDefault="004D1B64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3814EE" wp14:editId="4B3300CF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B5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7E273" wp14:editId="551AE848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DBFA5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36FE5E03" w14:textId="7E9EDD75" w:rsidR="00DD2D70" w:rsidRDefault="00405177" w:rsidP="00DD2D70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18"/>
        <w:szCs w:val="18"/>
      </w:rPr>
      <w:t>ICH-GCP E6(R3)</w:t>
    </w:r>
    <w:r w:rsidR="00DA57A1">
      <w:rPr>
        <w:rFonts w:ascii="Calibri" w:hAnsi="Calibri" w:cs="Calibri"/>
        <w:sz w:val="18"/>
        <w:szCs w:val="18"/>
      </w:rPr>
      <w:t xml:space="preserve"> Service Providers</w:t>
    </w:r>
  </w:p>
  <w:p w14:paraId="04BB3701" w14:textId="06498520" w:rsidR="001F153C" w:rsidRPr="007E2EAA" w:rsidRDefault="001F153C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63B9" w14:textId="77777777" w:rsidR="0022574A" w:rsidRDefault="0022574A">
      <w:r>
        <w:separator/>
      </w:r>
    </w:p>
  </w:footnote>
  <w:footnote w:type="continuationSeparator" w:id="0">
    <w:p w14:paraId="4A8CB584" w14:textId="77777777" w:rsidR="0022574A" w:rsidRDefault="0022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1318" w14:textId="4FC14AB3" w:rsidR="001F153C" w:rsidRDefault="003B35C9" w:rsidP="00405177">
    <w:pPr>
      <w:tabs>
        <w:tab w:val="center" w:pos="6390"/>
      </w:tabs>
      <w:autoSpaceDE w:val="0"/>
      <w:autoSpaceDN w:val="0"/>
      <w:adjustRightInd w:val="0"/>
      <w:rPr>
        <w:rFonts w:ascii="Calibri" w:hAnsi="Calibri" w:cs="Arial"/>
        <w:b/>
        <w:sz w:val="28"/>
        <w:szCs w:val="28"/>
      </w:rPr>
    </w:pPr>
    <w:r w:rsidRPr="003B35C9">
      <w:rPr>
        <w:rFonts w:ascii="Calibri" w:hAnsi="Calibri" w:cs="Arial"/>
        <w:b/>
        <w:noProof/>
        <w:sz w:val="32"/>
        <w:szCs w:val="32"/>
      </w:rPr>
      <w:drawing>
        <wp:anchor distT="0" distB="0" distL="114300" distR="114300" simplePos="0" relativeHeight="251660800" behindDoc="0" locked="0" layoutInCell="1" allowOverlap="1" wp14:anchorId="5D1459BA" wp14:editId="0BA39E0C">
          <wp:simplePos x="0" y="0"/>
          <wp:positionH relativeFrom="column">
            <wp:posOffset>-772234</wp:posOffset>
          </wp:positionH>
          <wp:positionV relativeFrom="paragraph">
            <wp:posOffset>-340360</wp:posOffset>
          </wp:positionV>
          <wp:extent cx="2302510" cy="561340"/>
          <wp:effectExtent l="0" t="0" r="2540" b="0"/>
          <wp:wrapSquare wrapText="bothSides"/>
          <wp:docPr id="205157243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7243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51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177" w:rsidRPr="00405177">
      <w:rPr>
        <w:rFonts w:ascii="Calibri" w:hAnsi="Calibri" w:cs="Arial"/>
        <w:b/>
        <w:sz w:val="32"/>
        <w:szCs w:val="32"/>
      </w:rPr>
      <w:t xml:space="preserve">ICH-GCP E6(R3) </w:t>
    </w:r>
    <w:r w:rsidR="001B67F6">
      <w:rPr>
        <w:rFonts w:ascii="Calibri" w:hAnsi="Calibri" w:cs="Arial"/>
        <w:b/>
        <w:sz w:val="32"/>
        <w:szCs w:val="32"/>
      </w:rPr>
      <w:t>Service Provider</w:t>
    </w:r>
    <w:r w:rsidR="00405177" w:rsidRPr="00405177">
      <w:rPr>
        <w:rFonts w:ascii="Calibri" w:hAnsi="Calibri" w:cs="Arial"/>
        <w:b/>
        <w:sz w:val="32"/>
        <w:szCs w:val="32"/>
      </w:rPr>
      <w:t xml:space="preserve"> Changes</w:t>
    </w:r>
  </w:p>
  <w:p w14:paraId="390F8BC1" w14:textId="77777777" w:rsidR="00405177" w:rsidRPr="007E5C42" w:rsidRDefault="00405177" w:rsidP="00405177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</w:p>
  <w:p w14:paraId="26263043" w14:textId="7EC49B71" w:rsidR="001F153C" w:rsidRDefault="004D1B64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E2B765" wp14:editId="4FBF73A7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8AF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27390" wp14:editId="0D7CF13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7ACBD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297"/>
    <w:multiLevelType w:val="hybridMultilevel"/>
    <w:tmpl w:val="2FF66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0A00"/>
    <w:multiLevelType w:val="hybridMultilevel"/>
    <w:tmpl w:val="CA44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A5B33"/>
    <w:multiLevelType w:val="hybridMultilevel"/>
    <w:tmpl w:val="0E7C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1217"/>
    <w:multiLevelType w:val="hybridMultilevel"/>
    <w:tmpl w:val="8318C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27010"/>
    <w:multiLevelType w:val="hybridMultilevel"/>
    <w:tmpl w:val="B5040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E581A"/>
    <w:multiLevelType w:val="hybridMultilevel"/>
    <w:tmpl w:val="5BCE5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B5778"/>
    <w:multiLevelType w:val="hybridMultilevel"/>
    <w:tmpl w:val="B2A02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2C922A08"/>
    <w:multiLevelType w:val="hybridMultilevel"/>
    <w:tmpl w:val="53A8A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64E9F"/>
    <w:multiLevelType w:val="hybridMultilevel"/>
    <w:tmpl w:val="FABA7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A10D30"/>
    <w:multiLevelType w:val="hybridMultilevel"/>
    <w:tmpl w:val="3094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609863AD"/>
    <w:multiLevelType w:val="hybridMultilevel"/>
    <w:tmpl w:val="49A4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E19EC"/>
    <w:multiLevelType w:val="hybridMultilevel"/>
    <w:tmpl w:val="676A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31B56"/>
    <w:multiLevelType w:val="hybridMultilevel"/>
    <w:tmpl w:val="DE42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4201E"/>
    <w:multiLevelType w:val="hybridMultilevel"/>
    <w:tmpl w:val="BC2A1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CE5FFB"/>
    <w:multiLevelType w:val="hybridMultilevel"/>
    <w:tmpl w:val="F7A0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AEE"/>
    <w:multiLevelType w:val="multilevel"/>
    <w:tmpl w:val="81D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43703">
    <w:abstractNumId w:val="12"/>
  </w:num>
  <w:num w:numId="2" w16cid:durableId="1216311416">
    <w:abstractNumId w:val="16"/>
  </w:num>
  <w:num w:numId="3" w16cid:durableId="1747218800">
    <w:abstractNumId w:val="8"/>
  </w:num>
  <w:num w:numId="4" w16cid:durableId="1348403814">
    <w:abstractNumId w:val="1"/>
  </w:num>
  <w:num w:numId="5" w16cid:durableId="1498376127">
    <w:abstractNumId w:val="15"/>
  </w:num>
  <w:num w:numId="6" w16cid:durableId="1286349265">
    <w:abstractNumId w:val="0"/>
  </w:num>
  <w:num w:numId="7" w16cid:durableId="1482698110">
    <w:abstractNumId w:val="17"/>
  </w:num>
  <w:num w:numId="8" w16cid:durableId="875771727">
    <w:abstractNumId w:val="4"/>
  </w:num>
  <w:num w:numId="9" w16cid:durableId="1067872704">
    <w:abstractNumId w:val="5"/>
  </w:num>
  <w:num w:numId="10" w16cid:durableId="1084883031">
    <w:abstractNumId w:val="10"/>
  </w:num>
  <w:num w:numId="11" w16cid:durableId="1772428991">
    <w:abstractNumId w:val="9"/>
  </w:num>
  <w:num w:numId="12" w16cid:durableId="1218393585">
    <w:abstractNumId w:val="2"/>
  </w:num>
  <w:num w:numId="13" w16cid:durableId="1052462664">
    <w:abstractNumId w:val="18"/>
  </w:num>
  <w:num w:numId="14" w16cid:durableId="338317986">
    <w:abstractNumId w:val="14"/>
  </w:num>
  <w:num w:numId="15" w16cid:durableId="1827472324">
    <w:abstractNumId w:val="7"/>
  </w:num>
  <w:num w:numId="16" w16cid:durableId="1569804334">
    <w:abstractNumId w:val="11"/>
  </w:num>
  <w:num w:numId="17" w16cid:durableId="385833553">
    <w:abstractNumId w:val="6"/>
  </w:num>
  <w:num w:numId="18" w16cid:durableId="1062600724">
    <w:abstractNumId w:val="3"/>
  </w:num>
  <w:num w:numId="19" w16cid:durableId="202062420">
    <w:abstractNumId w:val="13"/>
  </w:num>
  <w:num w:numId="20" w16cid:durableId="630477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sTSwMDE0MrMwMTZT0lEKTi0uzszPAykwrAUAPxafnywAAAA="/>
  </w:docVars>
  <w:rsids>
    <w:rsidRoot w:val="00ED04B8"/>
    <w:rsid w:val="00010999"/>
    <w:rsid w:val="0001660B"/>
    <w:rsid w:val="00047532"/>
    <w:rsid w:val="000638B2"/>
    <w:rsid w:val="00072DA7"/>
    <w:rsid w:val="00077B0C"/>
    <w:rsid w:val="000803C1"/>
    <w:rsid w:val="00090E9A"/>
    <w:rsid w:val="00092131"/>
    <w:rsid w:val="000E5113"/>
    <w:rsid w:val="000E74C5"/>
    <w:rsid w:val="000F4EB8"/>
    <w:rsid w:val="000F57AC"/>
    <w:rsid w:val="00110644"/>
    <w:rsid w:val="001116A6"/>
    <w:rsid w:val="00157896"/>
    <w:rsid w:val="001610FF"/>
    <w:rsid w:val="00176587"/>
    <w:rsid w:val="001821B2"/>
    <w:rsid w:val="001868BA"/>
    <w:rsid w:val="001A1A65"/>
    <w:rsid w:val="001B67F6"/>
    <w:rsid w:val="001F153C"/>
    <w:rsid w:val="00205294"/>
    <w:rsid w:val="002172CD"/>
    <w:rsid w:val="0022574A"/>
    <w:rsid w:val="0026683A"/>
    <w:rsid w:val="0027437A"/>
    <w:rsid w:val="00277CBC"/>
    <w:rsid w:val="00295D2B"/>
    <w:rsid w:val="002C27C9"/>
    <w:rsid w:val="002D006A"/>
    <w:rsid w:val="002D46D5"/>
    <w:rsid w:val="002E29E0"/>
    <w:rsid w:val="00301744"/>
    <w:rsid w:val="00307FB9"/>
    <w:rsid w:val="00360394"/>
    <w:rsid w:val="00363255"/>
    <w:rsid w:val="00363ABE"/>
    <w:rsid w:val="003906B5"/>
    <w:rsid w:val="0039153A"/>
    <w:rsid w:val="003958BB"/>
    <w:rsid w:val="00396042"/>
    <w:rsid w:val="003B35C9"/>
    <w:rsid w:val="003B5139"/>
    <w:rsid w:val="003E4626"/>
    <w:rsid w:val="003E5E67"/>
    <w:rsid w:val="0040352C"/>
    <w:rsid w:val="00405177"/>
    <w:rsid w:val="00412384"/>
    <w:rsid w:val="00422932"/>
    <w:rsid w:val="00453C92"/>
    <w:rsid w:val="00467E9E"/>
    <w:rsid w:val="004B776D"/>
    <w:rsid w:val="004D1B64"/>
    <w:rsid w:val="004E1A1D"/>
    <w:rsid w:val="004E20C1"/>
    <w:rsid w:val="004E5879"/>
    <w:rsid w:val="004F186D"/>
    <w:rsid w:val="00515716"/>
    <w:rsid w:val="00521681"/>
    <w:rsid w:val="00530E9C"/>
    <w:rsid w:val="00550C93"/>
    <w:rsid w:val="00573905"/>
    <w:rsid w:val="00575B9A"/>
    <w:rsid w:val="0058033A"/>
    <w:rsid w:val="00586244"/>
    <w:rsid w:val="005A219A"/>
    <w:rsid w:val="005A78C2"/>
    <w:rsid w:val="005C6620"/>
    <w:rsid w:val="005D60DF"/>
    <w:rsid w:val="005E40B1"/>
    <w:rsid w:val="005F0350"/>
    <w:rsid w:val="005F25DB"/>
    <w:rsid w:val="00616C2B"/>
    <w:rsid w:val="00622501"/>
    <w:rsid w:val="006326E1"/>
    <w:rsid w:val="00672F21"/>
    <w:rsid w:val="0067525D"/>
    <w:rsid w:val="0069261F"/>
    <w:rsid w:val="006949A8"/>
    <w:rsid w:val="006D2277"/>
    <w:rsid w:val="006D7254"/>
    <w:rsid w:val="006D7918"/>
    <w:rsid w:val="006F0AF4"/>
    <w:rsid w:val="006F6E9E"/>
    <w:rsid w:val="0071344D"/>
    <w:rsid w:val="00733A87"/>
    <w:rsid w:val="00737922"/>
    <w:rsid w:val="00772E26"/>
    <w:rsid w:val="007806D8"/>
    <w:rsid w:val="00794BBA"/>
    <w:rsid w:val="007C0815"/>
    <w:rsid w:val="007E0D41"/>
    <w:rsid w:val="007E2EAA"/>
    <w:rsid w:val="007E512E"/>
    <w:rsid w:val="007E5C42"/>
    <w:rsid w:val="007E6692"/>
    <w:rsid w:val="007F453D"/>
    <w:rsid w:val="007F763E"/>
    <w:rsid w:val="00812F39"/>
    <w:rsid w:val="008431A5"/>
    <w:rsid w:val="00845F67"/>
    <w:rsid w:val="00846322"/>
    <w:rsid w:val="008501FD"/>
    <w:rsid w:val="00861C0D"/>
    <w:rsid w:val="0087503B"/>
    <w:rsid w:val="008754D9"/>
    <w:rsid w:val="00880A68"/>
    <w:rsid w:val="00885244"/>
    <w:rsid w:val="00887FFC"/>
    <w:rsid w:val="00894984"/>
    <w:rsid w:val="008A0B17"/>
    <w:rsid w:val="008A27EC"/>
    <w:rsid w:val="008B693B"/>
    <w:rsid w:val="008C4B08"/>
    <w:rsid w:val="008E7DBF"/>
    <w:rsid w:val="008F367B"/>
    <w:rsid w:val="00911111"/>
    <w:rsid w:val="00914A95"/>
    <w:rsid w:val="009156C6"/>
    <w:rsid w:val="00921371"/>
    <w:rsid w:val="00923D08"/>
    <w:rsid w:val="009339C0"/>
    <w:rsid w:val="00947322"/>
    <w:rsid w:val="009566F2"/>
    <w:rsid w:val="009579A8"/>
    <w:rsid w:val="00965F37"/>
    <w:rsid w:val="00973F39"/>
    <w:rsid w:val="009806A4"/>
    <w:rsid w:val="00986A82"/>
    <w:rsid w:val="009B1150"/>
    <w:rsid w:val="009B5753"/>
    <w:rsid w:val="009B667D"/>
    <w:rsid w:val="009E2598"/>
    <w:rsid w:val="009E26FD"/>
    <w:rsid w:val="009E360B"/>
    <w:rsid w:val="009E4095"/>
    <w:rsid w:val="009E478A"/>
    <w:rsid w:val="00A10D92"/>
    <w:rsid w:val="00A157D3"/>
    <w:rsid w:val="00A27648"/>
    <w:rsid w:val="00A46738"/>
    <w:rsid w:val="00A743D7"/>
    <w:rsid w:val="00A9156F"/>
    <w:rsid w:val="00AD2E2E"/>
    <w:rsid w:val="00AD50EC"/>
    <w:rsid w:val="00AE179D"/>
    <w:rsid w:val="00AF68CC"/>
    <w:rsid w:val="00B00969"/>
    <w:rsid w:val="00B042B4"/>
    <w:rsid w:val="00B07282"/>
    <w:rsid w:val="00B107FB"/>
    <w:rsid w:val="00B27146"/>
    <w:rsid w:val="00B57E9F"/>
    <w:rsid w:val="00B730CD"/>
    <w:rsid w:val="00B97FC7"/>
    <w:rsid w:val="00BB0651"/>
    <w:rsid w:val="00BB2168"/>
    <w:rsid w:val="00BE74E0"/>
    <w:rsid w:val="00BF5C3D"/>
    <w:rsid w:val="00BF6237"/>
    <w:rsid w:val="00BF6596"/>
    <w:rsid w:val="00C67AAD"/>
    <w:rsid w:val="00C93445"/>
    <w:rsid w:val="00CB66E3"/>
    <w:rsid w:val="00D012D5"/>
    <w:rsid w:val="00D03316"/>
    <w:rsid w:val="00D03C38"/>
    <w:rsid w:val="00D24911"/>
    <w:rsid w:val="00D250D0"/>
    <w:rsid w:val="00D319B3"/>
    <w:rsid w:val="00D374BF"/>
    <w:rsid w:val="00D551CC"/>
    <w:rsid w:val="00D6598A"/>
    <w:rsid w:val="00D6682A"/>
    <w:rsid w:val="00D73829"/>
    <w:rsid w:val="00D80F4A"/>
    <w:rsid w:val="00DA4995"/>
    <w:rsid w:val="00DA57A1"/>
    <w:rsid w:val="00DA6617"/>
    <w:rsid w:val="00DC3B6B"/>
    <w:rsid w:val="00DC3D98"/>
    <w:rsid w:val="00DD2D70"/>
    <w:rsid w:val="00DF16E7"/>
    <w:rsid w:val="00E122DB"/>
    <w:rsid w:val="00E159CC"/>
    <w:rsid w:val="00E15D38"/>
    <w:rsid w:val="00E3113F"/>
    <w:rsid w:val="00E343EE"/>
    <w:rsid w:val="00E40ADD"/>
    <w:rsid w:val="00E45E41"/>
    <w:rsid w:val="00E540CB"/>
    <w:rsid w:val="00E5751F"/>
    <w:rsid w:val="00E60110"/>
    <w:rsid w:val="00E617F3"/>
    <w:rsid w:val="00E76F59"/>
    <w:rsid w:val="00E86161"/>
    <w:rsid w:val="00E9429E"/>
    <w:rsid w:val="00E94EE7"/>
    <w:rsid w:val="00EA5FC9"/>
    <w:rsid w:val="00EA7705"/>
    <w:rsid w:val="00EB02CD"/>
    <w:rsid w:val="00EB0ABE"/>
    <w:rsid w:val="00EC0B46"/>
    <w:rsid w:val="00ED04B8"/>
    <w:rsid w:val="00EF2CDD"/>
    <w:rsid w:val="00EF59C9"/>
    <w:rsid w:val="00EF79C6"/>
    <w:rsid w:val="00F4057E"/>
    <w:rsid w:val="00F467F4"/>
    <w:rsid w:val="00F620C8"/>
    <w:rsid w:val="00F87AA4"/>
    <w:rsid w:val="00FA0F93"/>
    <w:rsid w:val="00FA1727"/>
    <w:rsid w:val="00FB5E91"/>
    <w:rsid w:val="00FD3FB1"/>
    <w:rsid w:val="00FD4574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b68c16"/>
    </o:shapedefaults>
    <o:shapelayout v:ext="edit">
      <o:idmap v:ext="edit" data="2"/>
    </o:shapelayout>
  </w:shapeDefaults>
  <w:decimalSymbol w:val="."/>
  <w:listSeparator w:val=","/>
  <w14:docId w14:val="1A7DB242"/>
  <w15:chartTrackingRefBased/>
  <w15:docId w15:val="{6384CD26-FC35-4261-9DBB-043EB40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character" w:customStyle="1" w:styleId="FooterChar">
    <w:name w:val="Footer Char"/>
    <w:link w:val="Footer"/>
    <w:uiPriority w:val="99"/>
    <w:semiHidden/>
    <w:rsid w:val="00F4057E"/>
  </w:style>
  <w:style w:type="character" w:styleId="UnresolvedMention">
    <w:name w:val="Unresolved Mention"/>
    <w:uiPriority w:val="99"/>
    <w:semiHidden/>
    <w:unhideWhenUsed/>
    <w:rsid w:val="009B6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1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911111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1A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2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9D781-A33F-4DE8-84AC-EF9E2D61B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665DFD-3169-4F60-AD04-C1DCC8F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57B13-4643-4E21-AFFF-F3141FF29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5577</TotalTime>
  <Pages>1</Pages>
  <Words>210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1652</CharactersWithSpaces>
  <SharedDoc>false</SharedDoc>
  <HLinks>
    <vt:vector size="18" baseType="variant">
      <vt:variant>
        <vt:i4>6291535</vt:i4>
      </vt:variant>
      <vt:variant>
        <vt:i4>20</vt:i4>
      </vt:variant>
      <vt:variant>
        <vt:i4>0</vt:i4>
      </vt:variant>
      <vt:variant>
        <vt:i4>5</vt:i4>
      </vt:variant>
      <vt:variant>
        <vt:lpwstr>http://www.or.emory.edu/research-compliance/oric/documents1/S-I_IDE_Responsibilities_Form.docx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new S-I.doc</vt:lpwstr>
      </vt:variant>
      <vt:variant>
        <vt:lpwstr/>
      </vt:variant>
      <vt:variant>
        <vt:i4>3014763</vt:i4>
      </vt:variant>
      <vt:variant>
        <vt:i4>2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transferrring S-I 1 14 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Information Systems</dc:creator>
  <cp:keywords/>
  <cp:lastModifiedBy>Salazar, Thomas</cp:lastModifiedBy>
  <cp:revision>32</cp:revision>
  <cp:lastPrinted>2013-01-03T15:42:00Z</cp:lastPrinted>
  <dcterms:created xsi:type="dcterms:W3CDTF">2026-03-12T23:06:00Z</dcterms:created>
  <dcterms:modified xsi:type="dcterms:W3CDTF">2026-03-16T20:03:00Z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GrammarlyDocumentId">
    <vt:lpwstr>8a6940ef8a9416f486032e4e14550a2cf4f00bcf6d031bff77cbd8b0757bce50</vt:lpwstr>
  </property>
</Properties>
</file>