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E184" w14:textId="0F587D7C" w:rsidR="000E05F7" w:rsidRPr="0014509F" w:rsidRDefault="002077D8" w:rsidP="0014509F">
      <w:pPr>
        <w:jc w:val="center"/>
        <w:rPr>
          <w:b/>
          <w:bCs/>
          <w:sz w:val="28"/>
          <w:szCs w:val="28"/>
        </w:rPr>
      </w:pPr>
      <w:hyperlink r:id="rId7" w:history="1">
        <w:r w:rsidRPr="007617E2">
          <w:rPr>
            <w:rStyle w:val="Hyperlink"/>
            <w:b/>
            <w:bCs/>
            <w:sz w:val="28"/>
            <w:szCs w:val="28"/>
          </w:rPr>
          <w:t xml:space="preserve">Clinical Trials Registration &amp; Reporting </w:t>
        </w:r>
        <w:r w:rsidR="00480206" w:rsidRPr="007617E2">
          <w:rPr>
            <w:rStyle w:val="Hyperlink"/>
            <w:b/>
            <w:bCs/>
            <w:sz w:val="28"/>
            <w:szCs w:val="28"/>
          </w:rPr>
          <w:t>Policy</w:t>
        </w:r>
      </w:hyperlink>
      <w:r w:rsidR="00480206" w:rsidRPr="0014509F">
        <w:rPr>
          <w:b/>
          <w:bCs/>
          <w:sz w:val="28"/>
          <w:szCs w:val="28"/>
        </w:rPr>
        <w:t xml:space="preserve"> </w:t>
      </w:r>
      <w:r w:rsidR="003A54E5">
        <w:rPr>
          <w:b/>
          <w:bCs/>
          <w:sz w:val="28"/>
          <w:szCs w:val="28"/>
        </w:rPr>
        <w:t>2026 Revision Key Changes</w:t>
      </w:r>
    </w:p>
    <w:p w14:paraId="5A479161" w14:textId="7CE40EB2" w:rsidR="003A54E5" w:rsidRPr="003A54E5" w:rsidRDefault="003A54E5" w:rsidP="003A54E5">
      <w:pPr>
        <w:spacing w:line="259" w:lineRule="auto"/>
      </w:pPr>
      <w:r w:rsidRPr="003A54E5">
        <w:t>The updated Clinical Trials Registration and Reporting policy reflects significant enhancements, addressing federal requirements, institutional responsibilities, and compliance enforcement mechanisms. Key changes include: </w:t>
      </w:r>
    </w:p>
    <w:p w14:paraId="06A12CB4" w14:textId="77777777" w:rsidR="003A54E5" w:rsidRPr="003A54E5" w:rsidRDefault="003A54E5" w:rsidP="003A54E5">
      <w:pPr>
        <w:spacing w:line="259" w:lineRule="auto"/>
        <w:rPr>
          <w:u w:val="single"/>
        </w:rPr>
      </w:pPr>
      <w:r w:rsidRPr="003A54E5">
        <w:t> </w:t>
      </w:r>
    </w:p>
    <w:p w14:paraId="703CAF88" w14:textId="77777777" w:rsidR="003A54E5" w:rsidRPr="003A54E5" w:rsidRDefault="003A54E5" w:rsidP="003A54E5">
      <w:pPr>
        <w:numPr>
          <w:ilvl w:val="0"/>
          <w:numId w:val="5"/>
        </w:numPr>
        <w:spacing w:line="259" w:lineRule="auto"/>
        <w:rPr>
          <w:u w:val="single"/>
        </w:rPr>
      </w:pPr>
      <w:r w:rsidRPr="003A54E5">
        <w:rPr>
          <w:b/>
          <w:bCs/>
          <w:u w:val="single"/>
        </w:rPr>
        <w:t>Structural Additions</w:t>
      </w:r>
      <w:r w:rsidRPr="003A54E5">
        <w:rPr>
          <w:u w:val="single"/>
        </w:rPr>
        <w:t> </w:t>
      </w:r>
    </w:p>
    <w:p w14:paraId="6326F2CF" w14:textId="5AC55656" w:rsidR="003A54E5" w:rsidRPr="003A54E5" w:rsidRDefault="003A54E5" w:rsidP="003A54E5">
      <w:pPr>
        <w:numPr>
          <w:ilvl w:val="0"/>
          <w:numId w:val="6"/>
        </w:numPr>
        <w:spacing w:line="259" w:lineRule="auto"/>
      </w:pPr>
      <w:r w:rsidRPr="003A54E5">
        <w:rPr>
          <w:b/>
          <w:bCs/>
        </w:rPr>
        <w:t>Policy Overview Section:</w:t>
      </w:r>
      <w:r w:rsidRPr="003A54E5">
        <w:t xml:space="preserve"> </w:t>
      </w:r>
      <w:r>
        <w:t>O</w:t>
      </w:r>
      <w:r w:rsidRPr="003A54E5">
        <w:t>utline</w:t>
      </w:r>
      <w:r>
        <w:t>s</w:t>
      </w:r>
      <w:r w:rsidRPr="003A54E5">
        <w:t xml:space="preserve"> UCSF’s standards for clinical trial registration and results reporting, ensuring compliance with federal laws and regulations, ethical research conduct, and research transparency. </w:t>
      </w:r>
      <w:r w:rsidR="00B976F5">
        <w:t xml:space="preserve"> Applicable regulations and policies include</w:t>
      </w:r>
      <w:r w:rsidR="00B976F5">
        <w:rPr>
          <w:rFonts w:ascii="Aptos" w:eastAsia="Times New Roman" w:hAnsi="Aptos" w:cstheme="minorHAnsi"/>
        </w:rPr>
        <w:t xml:space="preserve"> the </w:t>
      </w:r>
      <w:r w:rsidR="00B976F5" w:rsidRPr="0042155A">
        <w:rPr>
          <w:rFonts w:ascii="Aptos" w:hAnsi="Aptos"/>
        </w:rPr>
        <w:t xml:space="preserve">Food and Drug Administration </w:t>
      </w:r>
      <w:r w:rsidR="00B976F5" w:rsidRPr="00E979D7">
        <w:rPr>
          <w:rFonts w:ascii="Aptos" w:eastAsia="Times New Roman" w:hAnsi="Aptos" w:cstheme="minorHAnsi"/>
        </w:rPr>
        <w:t>Modernization Act of 1997 (FDAMA)</w:t>
      </w:r>
      <w:r w:rsidR="00B976F5">
        <w:rPr>
          <w:rFonts w:ascii="Aptos" w:eastAsia="Times New Roman" w:hAnsi="Aptos" w:cstheme="minorHAnsi"/>
        </w:rPr>
        <w:t xml:space="preserve">, </w:t>
      </w:r>
      <w:r w:rsidR="00B976F5" w:rsidRPr="00E76241">
        <w:rPr>
          <w:rFonts w:ascii="Aptos" w:eastAsia="Times New Roman" w:hAnsi="Aptos" w:cstheme="minorHAnsi"/>
        </w:rPr>
        <w:t>Section 801 of the Food and Drug Administration Amendments Act (FDAAA 801)</w:t>
      </w:r>
      <w:r w:rsidR="00B976F5">
        <w:rPr>
          <w:rFonts w:ascii="Aptos" w:eastAsia="Times New Roman" w:hAnsi="Aptos" w:cstheme="minorHAnsi"/>
        </w:rPr>
        <w:t xml:space="preserve"> and </w:t>
      </w:r>
      <w:r w:rsidR="00B976F5" w:rsidRPr="00E76241">
        <w:rPr>
          <w:rFonts w:ascii="Aptos" w:eastAsia="Times New Roman" w:hAnsi="Aptos" w:cstheme="minorHAnsi"/>
        </w:rPr>
        <w:t>Final Rule for Clinical Trials Registration and Results Information Submission (42 CFR Part 11)</w:t>
      </w:r>
      <w:r w:rsidR="00B976F5">
        <w:rPr>
          <w:rFonts w:ascii="Aptos" w:eastAsia="Times New Roman" w:hAnsi="Aptos" w:cstheme="minorHAnsi"/>
        </w:rPr>
        <w:t xml:space="preserve">, </w:t>
      </w:r>
      <w:r w:rsidR="00B976F5" w:rsidRPr="00EB0818">
        <w:rPr>
          <w:rFonts w:ascii="Aptos" w:eastAsia="Times New Roman" w:hAnsi="Aptos" w:cstheme="minorHAnsi"/>
        </w:rPr>
        <w:t>the National</w:t>
      </w:r>
      <w:r w:rsidR="00B976F5">
        <w:rPr>
          <w:rFonts w:ascii="Aptos" w:eastAsia="Times New Roman" w:hAnsi="Aptos" w:cstheme="minorHAnsi"/>
        </w:rPr>
        <w:t xml:space="preserve"> </w:t>
      </w:r>
      <w:r w:rsidR="00B976F5" w:rsidRPr="00EB0818">
        <w:rPr>
          <w:rFonts w:ascii="Aptos" w:eastAsia="Times New Roman" w:hAnsi="Aptos" w:cstheme="minorHAnsi"/>
        </w:rPr>
        <w:t>Institutes of Health (NIH)</w:t>
      </w:r>
      <w:r w:rsidR="00B976F5">
        <w:rPr>
          <w:rFonts w:ascii="Aptos" w:eastAsia="Times New Roman" w:hAnsi="Aptos" w:cstheme="minorHAnsi"/>
        </w:rPr>
        <w:t xml:space="preserve">, </w:t>
      </w:r>
      <w:r w:rsidR="00B976F5" w:rsidRPr="00EB0818">
        <w:rPr>
          <w:rFonts w:ascii="Aptos" w:eastAsia="Times New Roman" w:hAnsi="Aptos" w:cstheme="minorHAnsi"/>
        </w:rPr>
        <w:t>the Center for Medicare and Medicaid Services (CMS)</w:t>
      </w:r>
      <w:r w:rsidR="00B976F5">
        <w:rPr>
          <w:rFonts w:ascii="Aptos" w:eastAsia="Times New Roman" w:hAnsi="Aptos" w:cstheme="minorHAnsi"/>
        </w:rPr>
        <w:t>,</w:t>
      </w:r>
      <w:r w:rsidR="00B976F5" w:rsidRPr="00615A49">
        <w:rPr>
          <w:rFonts w:ascii="Aptos" w:eastAsia="Times New Roman" w:hAnsi="Aptos" w:cstheme="minorHAnsi"/>
        </w:rPr>
        <w:t xml:space="preserve"> and</w:t>
      </w:r>
      <w:r w:rsidR="00B976F5" w:rsidRPr="0042155A">
        <w:rPr>
          <w:rFonts w:ascii="Aptos" w:hAnsi="Aptos"/>
        </w:rPr>
        <w:t xml:space="preserve"> the International Committee of Medical Journal Editors (ICMJE) </w:t>
      </w:r>
      <w:r w:rsidR="00B976F5">
        <w:rPr>
          <w:rFonts w:ascii="Aptos" w:eastAsia="Times New Roman" w:hAnsi="Aptos" w:cstheme="minorHAnsi"/>
        </w:rPr>
        <w:t>criteria</w:t>
      </w:r>
      <w:r w:rsidR="00B976F5" w:rsidRPr="00615A49">
        <w:rPr>
          <w:rFonts w:ascii="Aptos" w:eastAsia="Times New Roman" w:hAnsi="Aptos" w:cstheme="minorHAnsi"/>
        </w:rPr>
        <w:t xml:space="preserve">. </w:t>
      </w:r>
    </w:p>
    <w:p w14:paraId="683DD985" w14:textId="77777777" w:rsidR="003A54E5" w:rsidRPr="003A54E5" w:rsidRDefault="003A54E5" w:rsidP="003A54E5">
      <w:pPr>
        <w:numPr>
          <w:ilvl w:val="0"/>
          <w:numId w:val="7"/>
        </w:numPr>
        <w:spacing w:line="259" w:lineRule="auto"/>
        <w:rPr>
          <w:u w:val="single"/>
        </w:rPr>
      </w:pPr>
      <w:r w:rsidRPr="003A54E5">
        <w:rPr>
          <w:b/>
          <w:bCs/>
          <w:u w:val="single"/>
        </w:rPr>
        <w:t>Revised and Expanded Definitions</w:t>
      </w:r>
      <w:r w:rsidRPr="003A54E5">
        <w:rPr>
          <w:u w:val="single"/>
        </w:rPr>
        <w:t> </w:t>
      </w:r>
    </w:p>
    <w:p w14:paraId="27CEB9DB" w14:textId="23836611" w:rsidR="003A54E5" w:rsidRPr="003A54E5" w:rsidRDefault="003A54E5" w:rsidP="003A54E5">
      <w:pPr>
        <w:numPr>
          <w:ilvl w:val="0"/>
          <w:numId w:val="8"/>
        </w:numPr>
        <w:tabs>
          <w:tab w:val="num" w:pos="720"/>
        </w:tabs>
        <w:spacing w:line="259" w:lineRule="auto"/>
      </w:pPr>
      <w:r w:rsidRPr="003A54E5">
        <w:rPr>
          <w:b/>
          <w:bCs/>
        </w:rPr>
        <w:t>Updated Definitions:</w:t>
      </w:r>
      <w:r w:rsidRPr="003A54E5">
        <w:t xml:space="preserve"> Clarified terms such as “Clinical Trial” to align with </w:t>
      </w:r>
      <w:r>
        <w:t>industry standards</w:t>
      </w:r>
      <w:r w:rsidRPr="003A54E5">
        <w:t xml:space="preserve"> and improve </w:t>
      </w:r>
      <w:r w:rsidR="00B976F5">
        <w:t>clarity.</w:t>
      </w:r>
      <w:r w:rsidRPr="003A54E5">
        <w:t> </w:t>
      </w:r>
    </w:p>
    <w:p w14:paraId="40BCC7AC" w14:textId="77777777" w:rsidR="003A54E5" w:rsidRPr="003A54E5" w:rsidRDefault="003A54E5" w:rsidP="003A54E5">
      <w:pPr>
        <w:numPr>
          <w:ilvl w:val="0"/>
          <w:numId w:val="9"/>
        </w:numPr>
        <w:tabs>
          <w:tab w:val="num" w:pos="720"/>
        </w:tabs>
        <w:spacing w:line="259" w:lineRule="auto"/>
      </w:pPr>
      <w:r w:rsidRPr="007B44D7">
        <w:rPr>
          <w:b/>
          <w:bCs/>
          <w:color w:val="FF0000"/>
        </w:rPr>
        <w:t>New Definitions Added:</w:t>
      </w:r>
      <w:r w:rsidRPr="007B44D7">
        <w:rPr>
          <w:color w:val="FF0000"/>
        </w:rPr>
        <w:t xml:space="preserve"> </w:t>
      </w:r>
      <w:r w:rsidRPr="003A54E5">
        <w:t>Included terms such as Enrolled, Investigator-Initiated Trial, PRS System, Record Owner, Responsible Party, Sponsor, and Study Completion Date to enhance clarity and ensure consistency across the policy. </w:t>
      </w:r>
    </w:p>
    <w:p w14:paraId="2544E568" w14:textId="77777777" w:rsidR="003A54E5" w:rsidRPr="003A54E5" w:rsidRDefault="003A54E5" w:rsidP="003A54E5">
      <w:pPr>
        <w:numPr>
          <w:ilvl w:val="0"/>
          <w:numId w:val="10"/>
        </w:numPr>
        <w:spacing w:line="259" w:lineRule="auto"/>
        <w:rPr>
          <w:u w:val="single"/>
        </w:rPr>
      </w:pPr>
      <w:r w:rsidRPr="003A54E5">
        <w:rPr>
          <w:b/>
          <w:bCs/>
          <w:u w:val="single"/>
        </w:rPr>
        <w:t>Policy Enhancements</w:t>
      </w:r>
      <w:r w:rsidRPr="003A54E5">
        <w:rPr>
          <w:u w:val="single"/>
        </w:rPr>
        <w:t> </w:t>
      </w:r>
    </w:p>
    <w:p w14:paraId="5F218B0A" w14:textId="6618F1AE" w:rsidR="003A54E5" w:rsidRDefault="003A54E5" w:rsidP="003A54E5">
      <w:pPr>
        <w:numPr>
          <w:ilvl w:val="0"/>
          <w:numId w:val="11"/>
        </w:numPr>
        <w:tabs>
          <w:tab w:val="num" w:pos="720"/>
        </w:tabs>
        <w:spacing w:line="259" w:lineRule="auto"/>
      </w:pPr>
      <w:r w:rsidRPr="003A54E5">
        <w:rPr>
          <w:b/>
          <w:bCs/>
        </w:rPr>
        <w:t xml:space="preserve">Clarified Applicability Requirements: </w:t>
      </w:r>
      <w:r w:rsidRPr="003A54E5">
        <w:t>Specified conditions for clinical trial registration and results reporting, including NIH and CMS registration mandates. </w:t>
      </w:r>
    </w:p>
    <w:p w14:paraId="20038BE0" w14:textId="5D443DD4" w:rsidR="00B976F5" w:rsidRPr="003A54E5" w:rsidRDefault="00B976F5" w:rsidP="00B976F5">
      <w:pPr>
        <w:numPr>
          <w:ilvl w:val="0"/>
          <w:numId w:val="11"/>
        </w:numPr>
        <w:tabs>
          <w:tab w:val="num" w:pos="720"/>
        </w:tabs>
        <w:spacing w:line="259" w:lineRule="auto"/>
      </w:pPr>
      <w:r w:rsidRPr="007B44D7">
        <w:rPr>
          <w:b/>
          <w:bCs/>
          <w:color w:val="FF0000"/>
        </w:rPr>
        <w:t>New Burden-reducing Provision for Clinical Trial Registration:</w:t>
      </w:r>
      <w:r w:rsidRPr="007B44D7">
        <w:rPr>
          <w:color w:val="FF0000"/>
        </w:rPr>
        <w:t xml:space="preserve"> </w:t>
      </w:r>
      <w:r w:rsidRPr="0042155A">
        <w:t>Unfunded</w:t>
      </w:r>
      <w:r>
        <w:rPr>
          <w:rStyle w:val="FootnoteReference"/>
        </w:rPr>
        <w:footnoteReference w:id="1"/>
      </w:r>
      <w:r>
        <w:t xml:space="preserve"> </w:t>
      </w:r>
      <w:r w:rsidRPr="0042155A">
        <w:t xml:space="preserve">research </w:t>
      </w:r>
      <w:r>
        <w:t>with no intent to publish in an ICMJE journal, that is not otherwise subject to any clinical trial registration requirements (e.g., FDA, NIH, CMS), is exempt from the policy’s clinical trial registration requirements.</w:t>
      </w:r>
    </w:p>
    <w:p w14:paraId="24DFEAAE" w14:textId="2FD9735B" w:rsidR="003A54E5" w:rsidRPr="003A54E5" w:rsidRDefault="003A54E5" w:rsidP="003A54E5">
      <w:pPr>
        <w:numPr>
          <w:ilvl w:val="0"/>
          <w:numId w:val="12"/>
        </w:numPr>
        <w:tabs>
          <w:tab w:val="num" w:pos="720"/>
        </w:tabs>
        <w:spacing w:line="259" w:lineRule="auto"/>
      </w:pPr>
      <w:r w:rsidRPr="003A54E5">
        <w:rPr>
          <w:b/>
          <w:bCs/>
        </w:rPr>
        <w:t xml:space="preserve">Secondary ID </w:t>
      </w:r>
      <w:r w:rsidR="00B976F5">
        <w:rPr>
          <w:b/>
          <w:bCs/>
        </w:rPr>
        <w:t xml:space="preserve">Funding </w:t>
      </w:r>
      <w:r w:rsidRPr="003A54E5">
        <w:rPr>
          <w:b/>
          <w:bCs/>
        </w:rPr>
        <w:t>Requirement:</w:t>
      </w:r>
      <w:r w:rsidRPr="003A54E5">
        <w:t xml:space="preserve"> </w:t>
      </w:r>
      <w:r w:rsidR="00860F70" w:rsidRPr="00636885">
        <w:rPr>
          <w:rFonts w:ascii="Aptos" w:eastAsia="Times New Roman" w:hAnsi="Aptos" w:cstheme="minorHAnsi"/>
        </w:rPr>
        <w:t>Any federal grant/funding number(s) must be listed as a “Secondary ID” in the study record</w:t>
      </w:r>
      <w:r w:rsidR="00860F70">
        <w:rPr>
          <w:rFonts w:ascii="Aptos" w:eastAsia="Times New Roman" w:hAnsi="Aptos" w:cstheme="minorHAnsi"/>
        </w:rPr>
        <w:t xml:space="preserve"> to</w:t>
      </w:r>
      <w:r w:rsidRPr="003A54E5">
        <w:t xml:space="preserve"> ensure compliance with NIH monitoring requirements. </w:t>
      </w:r>
    </w:p>
    <w:p w14:paraId="3D3AEC34" w14:textId="4F67EA2F" w:rsidR="003A54E5" w:rsidRPr="003A54E5" w:rsidRDefault="003A54E5" w:rsidP="003A54E5">
      <w:pPr>
        <w:numPr>
          <w:ilvl w:val="0"/>
          <w:numId w:val="13"/>
        </w:numPr>
        <w:tabs>
          <w:tab w:val="num" w:pos="720"/>
        </w:tabs>
        <w:spacing w:line="259" w:lineRule="auto"/>
      </w:pPr>
      <w:r w:rsidRPr="007B44D7">
        <w:rPr>
          <w:b/>
          <w:bCs/>
          <w:color w:val="FF0000"/>
        </w:rPr>
        <w:lastRenderedPageBreak/>
        <w:t>Record Maintenance:</w:t>
      </w:r>
      <w:r w:rsidRPr="007B44D7">
        <w:rPr>
          <w:color w:val="FF0000"/>
        </w:rPr>
        <w:t xml:space="preserve"> </w:t>
      </w:r>
      <w:r w:rsidRPr="003A54E5">
        <w:t xml:space="preserve">Required regular updates to ClinicalTrials.gov records to maintain accuracy and adherence </w:t>
      </w:r>
      <w:r w:rsidR="00B976F5">
        <w:t>with</w:t>
      </w:r>
      <w:r w:rsidRPr="003A54E5">
        <w:t xml:space="preserve"> regulatory guidelines.</w:t>
      </w:r>
      <w:r w:rsidR="00860F70">
        <w:t xml:space="preserve"> </w:t>
      </w:r>
      <w:r w:rsidR="00860F70" w:rsidRPr="00636885">
        <w:rPr>
          <w:rFonts w:ascii="Aptos" w:eastAsia="Times New Roman" w:hAnsi="Aptos" w:cstheme="minorHAnsi"/>
        </w:rPr>
        <w:t xml:space="preserve">Records must be reviewed and verified </w:t>
      </w:r>
      <w:r w:rsidR="00860F70" w:rsidRPr="0042155A">
        <w:rPr>
          <w:rFonts w:ascii="Aptos" w:hAnsi="Aptos"/>
        </w:rPr>
        <w:t xml:space="preserve">at least </w:t>
      </w:r>
      <w:r w:rsidR="00860F70" w:rsidRPr="0042155A">
        <w:rPr>
          <w:rFonts w:ascii="Aptos" w:hAnsi="Aptos"/>
          <w:b/>
        </w:rPr>
        <w:t>once every 12 months</w:t>
      </w:r>
      <w:r w:rsidR="00860F70">
        <w:t xml:space="preserve">, with certain data elements requiring updates </w:t>
      </w:r>
      <w:r w:rsidR="00860F70" w:rsidRPr="00636885">
        <w:rPr>
          <w:rFonts w:ascii="Aptos" w:eastAsia="Times New Roman" w:hAnsi="Aptos" w:cstheme="minorHAnsi"/>
          <w:b/>
          <w:bCs/>
        </w:rPr>
        <w:t>within 30 days</w:t>
      </w:r>
      <w:r w:rsidR="00860F70" w:rsidRPr="00636885">
        <w:rPr>
          <w:rFonts w:ascii="Aptos" w:eastAsia="Times New Roman" w:hAnsi="Aptos" w:cstheme="minorHAnsi"/>
        </w:rPr>
        <w:t xml:space="preserve"> of</w:t>
      </w:r>
      <w:r w:rsidR="00860F70">
        <w:rPr>
          <w:rFonts w:ascii="Aptos" w:eastAsia="Times New Roman" w:hAnsi="Aptos" w:cstheme="minorHAnsi"/>
        </w:rPr>
        <w:t xml:space="preserve"> becoming aware of the</w:t>
      </w:r>
      <w:r w:rsidR="00860F70" w:rsidRPr="00636885">
        <w:rPr>
          <w:rFonts w:ascii="Aptos" w:eastAsia="Times New Roman" w:hAnsi="Aptos" w:cstheme="minorHAnsi"/>
        </w:rPr>
        <w:t xml:space="preserve"> changes</w:t>
      </w:r>
      <w:r w:rsidR="00860F70">
        <w:rPr>
          <w:rFonts w:ascii="Aptos" w:eastAsia="Times New Roman" w:hAnsi="Aptos" w:cstheme="minorHAnsi"/>
        </w:rPr>
        <w:t>.</w:t>
      </w:r>
    </w:p>
    <w:p w14:paraId="18845C50" w14:textId="77777777" w:rsidR="003A54E5" w:rsidRPr="003A54E5" w:rsidRDefault="003A54E5" w:rsidP="003A54E5">
      <w:pPr>
        <w:numPr>
          <w:ilvl w:val="0"/>
          <w:numId w:val="14"/>
        </w:numPr>
        <w:tabs>
          <w:tab w:val="num" w:pos="720"/>
        </w:tabs>
        <w:spacing w:line="259" w:lineRule="auto"/>
      </w:pPr>
      <w:r w:rsidRPr="007B44D7">
        <w:rPr>
          <w:b/>
          <w:bCs/>
          <w:color w:val="FF0000"/>
        </w:rPr>
        <w:t xml:space="preserve">Results Reporting Requirements: </w:t>
      </w:r>
      <w:r w:rsidRPr="003A54E5">
        <w:t>Expanded details on submission timeframes for FDA and NIH trials and added requirements for uploading supporting documents such as protocols, statistical analysis plans, and consent forms. </w:t>
      </w:r>
    </w:p>
    <w:p w14:paraId="28D61F3D" w14:textId="77777777" w:rsidR="003A54E5" w:rsidRPr="003A54E5" w:rsidRDefault="003A54E5" w:rsidP="003A54E5">
      <w:pPr>
        <w:numPr>
          <w:ilvl w:val="0"/>
          <w:numId w:val="15"/>
        </w:numPr>
        <w:tabs>
          <w:tab w:val="num" w:pos="720"/>
        </w:tabs>
        <w:spacing w:line="259" w:lineRule="auto"/>
      </w:pPr>
      <w:r w:rsidRPr="003A54E5">
        <w:rPr>
          <w:b/>
          <w:bCs/>
        </w:rPr>
        <w:t>Data Sharing Statement:</w:t>
      </w:r>
      <w:r w:rsidRPr="003A54E5">
        <w:t xml:space="preserve"> Mandated adherence to ICMJE publication standards through the inclusion of a data sharing statement. </w:t>
      </w:r>
    </w:p>
    <w:p w14:paraId="39792726" w14:textId="77777777" w:rsidR="003A54E5" w:rsidRPr="003A54E5" w:rsidRDefault="003A54E5" w:rsidP="003A54E5">
      <w:pPr>
        <w:numPr>
          <w:ilvl w:val="0"/>
          <w:numId w:val="16"/>
        </w:numPr>
        <w:spacing w:line="259" w:lineRule="auto"/>
        <w:rPr>
          <w:u w:val="single"/>
        </w:rPr>
      </w:pPr>
      <w:r w:rsidRPr="003A54E5">
        <w:rPr>
          <w:b/>
          <w:bCs/>
          <w:u w:val="single"/>
        </w:rPr>
        <w:t>Federal Compliance and Enforcement Updates</w:t>
      </w:r>
      <w:r w:rsidRPr="003A54E5">
        <w:rPr>
          <w:u w:val="single"/>
        </w:rPr>
        <w:t> </w:t>
      </w:r>
    </w:p>
    <w:p w14:paraId="77DFBB49" w14:textId="77777777" w:rsidR="003A54E5" w:rsidRPr="003A54E5" w:rsidRDefault="003A54E5" w:rsidP="003A54E5">
      <w:pPr>
        <w:numPr>
          <w:ilvl w:val="0"/>
          <w:numId w:val="17"/>
        </w:numPr>
        <w:tabs>
          <w:tab w:val="num" w:pos="720"/>
        </w:tabs>
        <w:spacing w:line="259" w:lineRule="auto"/>
      </w:pPr>
      <w:r w:rsidRPr="003A54E5">
        <w:rPr>
          <w:b/>
          <w:bCs/>
        </w:rPr>
        <w:t>Expanded Federal Requirements:</w:t>
      </w:r>
      <w:r w:rsidRPr="003A54E5">
        <w:t xml:space="preserve"> Incorporated NIH and CMS registration and results submission mandates alongside FDA guidelines. </w:t>
      </w:r>
    </w:p>
    <w:p w14:paraId="5D20E198" w14:textId="2AFE6F2F" w:rsidR="003A54E5" w:rsidRPr="003A54E5" w:rsidRDefault="003A54E5" w:rsidP="00860F70">
      <w:pPr>
        <w:pStyle w:val="ListParagraph"/>
        <w:numPr>
          <w:ilvl w:val="0"/>
          <w:numId w:val="18"/>
        </w:numPr>
      </w:pPr>
      <w:r w:rsidRPr="007B44D7">
        <w:rPr>
          <w:b/>
          <w:bCs/>
          <w:color w:val="FF0000"/>
        </w:rPr>
        <w:t>Enforcement Mechanisms and Penalties:</w:t>
      </w:r>
      <w:r w:rsidRPr="007B44D7">
        <w:rPr>
          <w:color w:val="FF0000"/>
        </w:rPr>
        <w:t xml:space="preserve"> </w:t>
      </w:r>
      <w:r w:rsidRPr="003A54E5">
        <w:t>Detailed NIH and FDA enforcement processes, including civil monetary penalties, notices of noncompliance, denial of Medicare claims, funding suspension, and publication restrictions. </w:t>
      </w:r>
      <w:r w:rsidR="00860F70" w:rsidRPr="00860F70">
        <w:rPr>
          <w:b/>
          <w:bCs/>
        </w:rPr>
        <w:t>The PI’s Department/Division will be responsible for any civil monetary penalties incurred due to noncompliance.</w:t>
      </w:r>
    </w:p>
    <w:p w14:paraId="517B6AA5" w14:textId="77777777" w:rsidR="003A54E5" w:rsidRPr="003A54E5" w:rsidRDefault="003A54E5" w:rsidP="003A54E5">
      <w:pPr>
        <w:numPr>
          <w:ilvl w:val="0"/>
          <w:numId w:val="19"/>
        </w:numPr>
        <w:spacing w:line="259" w:lineRule="auto"/>
        <w:rPr>
          <w:u w:val="single"/>
        </w:rPr>
      </w:pPr>
      <w:r w:rsidRPr="003A54E5">
        <w:rPr>
          <w:b/>
          <w:bCs/>
          <w:u w:val="single"/>
        </w:rPr>
        <w:t>Consequences of Noncompliance</w:t>
      </w:r>
      <w:r w:rsidRPr="003A54E5">
        <w:rPr>
          <w:u w:val="single"/>
        </w:rPr>
        <w:t> </w:t>
      </w:r>
    </w:p>
    <w:p w14:paraId="06B72166" w14:textId="7C76E594" w:rsidR="003A54E5" w:rsidRPr="003A54E5" w:rsidRDefault="00860F70" w:rsidP="003A54E5">
      <w:pPr>
        <w:numPr>
          <w:ilvl w:val="0"/>
          <w:numId w:val="20"/>
        </w:numPr>
        <w:tabs>
          <w:tab w:val="num" w:pos="720"/>
        </w:tabs>
        <w:spacing w:line="259" w:lineRule="auto"/>
      </w:pPr>
      <w:r w:rsidRPr="007B44D7">
        <w:rPr>
          <w:b/>
          <w:bCs/>
          <w:color w:val="FF0000"/>
        </w:rPr>
        <w:t xml:space="preserve">Internal </w:t>
      </w:r>
      <w:r w:rsidR="003A54E5" w:rsidRPr="007B44D7">
        <w:rPr>
          <w:b/>
          <w:bCs/>
          <w:color w:val="FF0000"/>
        </w:rPr>
        <w:t>Escalation Pathways:</w:t>
      </w:r>
      <w:r w:rsidR="003A54E5" w:rsidRPr="007B44D7">
        <w:rPr>
          <w:color w:val="FF0000"/>
        </w:rPr>
        <w:t xml:space="preserve"> </w:t>
      </w:r>
      <w:r w:rsidR="003A54E5" w:rsidRPr="003A54E5">
        <w:t>Added UCSF-specific approaches for addressing noncompliance, including department leadership involvement and potential disciplinary actions. </w:t>
      </w:r>
    </w:p>
    <w:p w14:paraId="3A88F749" w14:textId="77777777" w:rsidR="003A54E5" w:rsidRPr="003A54E5" w:rsidRDefault="003A54E5" w:rsidP="003A54E5">
      <w:pPr>
        <w:numPr>
          <w:ilvl w:val="0"/>
          <w:numId w:val="21"/>
        </w:numPr>
        <w:spacing w:line="259" w:lineRule="auto"/>
        <w:rPr>
          <w:u w:val="single"/>
        </w:rPr>
      </w:pPr>
      <w:r w:rsidRPr="003A54E5">
        <w:rPr>
          <w:b/>
          <w:bCs/>
          <w:u w:val="single"/>
        </w:rPr>
        <w:t>Roles and Responsibilities</w:t>
      </w:r>
      <w:r w:rsidRPr="003A54E5">
        <w:rPr>
          <w:u w:val="single"/>
        </w:rPr>
        <w:t> </w:t>
      </w:r>
    </w:p>
    <w:p w14:paraId="33836BF5" w14:textId="4608C1EA" w:rsidR="003A54E5" w:rsidRPr="007B44D7" w:rsidRDefault="003A54E5" w:rsidP="003A54E5">
      <w:pPr>
        <w:numPr>
          <w:ilvl w:val="0"/>
          <w:numId w:val="22"/>
        </w:numPr>
        <w:tabs>
          <w:tab w:val="num" w:pos="720"/>
        </w:tabs>
        <w:spacing w:line="259" w:lineRule="auto"/>
        <w:rPr>
          <w:color w:val="FF0000"/>
        </w:rPr>
      </w:pPr>
      <w:r w:rsidRPr="007B44D7">
        <w:rPr>
          <w:b/>
          <w:bCs/>
          <w:color w:val="FF0000"/>
        </w:rPr>
        <w:t>Revised Summary of Responsibilities: </w:t>
      </w:r>
      <w:r w:rsidRPr="007B44D7">
        <w:rPr>
          <w:color w:val="FF0000"/>
        </w:rPr>
        <w:t> </w:t>
      </w:r>
    </w:p>
    <w:p w14:paraId="4F64F4B5" w14:textId="77777777" w:rsidR="003A54E5" w:rsidRDefault="003A54E5" w:rsidP="003A54E5">
      <w:pPr>
        <w:numPr>
          <w:ilvl w:val="0"/>
          <w:numId w:val="23"/>
        </w:numPr>
        <w:tabs>
          <w:tab w:val="num" w:pos="720"/>
        </w:tabs>
        <w:spacing w:line="259" w:lineRule="auto"/>
      </w:pPr>
      <w:r w:rsidRPr="003A54E5">
        <w:rPr>
          <w:b/>
          <w:bCs/>
        </w:rPr>
        <w:t>Principal Investigator (PI):</w:t>
      </w:r>
      <w:r w:rsidRPr="003A54E5">
        <w:t xml:space="preserve"> Clarified responsibilities, including maintaining records, submitting results, and addressing notices of noncompliance. </w:t>
      </w:r>
    </w:p>
    <w:p w14:paraId="02354535" w14:textId="77777777" w:rsidR="003A54E5" w:rsidRDefault="003A54E5" w:rsidP="003A54E5">
      <w:pPr>
        <w:numPr>
          <w:ilvl w:val="0"/>
          <w:numId w:val="23"/>
        </w:numPr>
        <w:tabs>
          <w:tab w:val="num" w:pos="720"/>
        </w:tabs>
        <w:spacing w:line="259" w:lineRule="auto"/>
      </w:pPr>
      <w:r w:rsidRPr="003A54E5">
        <w:rPr>
          <w:b/>
          <w:bCs/>
        </w:rPr>
        <w:t>Office of Ethics and Compliance (OEC):</w:t>
      </w:r>
      <w:r w:rsidRPr="003A54E5">
        <w:t xml:space="preserve"> Provided oversight and enforcement authority for ClinicalTrials.gov compliance. </w:t>
      </w:r>
    </w:p>
    <w:p w14:paraId="74B481A8" w14:textId="3CAE3508" w:rsidR="003A54E5" w:rsidRPr="003A54E5" w:rsidRDefault="003A54E5" w:rsidP="003A54E5">
      <w:pPr>
        <w:numPr>
          <w:ilvl w:val="0"/>
          <w:numId w:val="23"/>
        </w:numPr>
        <w:tabs>
          <w:tab w:val="num" w:pos="720"/>
        </w:tabs>
        <w:spacing w:line="259" w:lineRule="auto"/>
      </w:pPr>
      <w:r w:rsidRPr="003A54E5">
        <w:rPr>
          <w:b/>
          <w:bCs/>
        </w:rPr>
        <w:t>Institutional Review Board (IRB):</w:t>
      </w:r>
      <w:r w:rsidRPr="003A54E5">
        <w:t xml:space="preserve"> Confirmed authority to determine applicability of registration requirements. </w:t>
      </w:r>
    </w:p>
    <w:p w14:paraId="66A33AE1" w14:textId="62E69201" w:rsidR="000E05F7" w:rsidRDefault="000E05F7" w:rsidP="003A54E5">
      <w:pPr>
        <w:spacing w:line="259" w:lineRule="auto"/>
      </w:pPr>
    </w:p>
    <w:sectPr w:rsidR="000E05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4F1B" w14:textId="77777777" w:rsidR="00CB2E66" w:rsidRDefault="00CB2E66" w:rsidP="00747041">
      <w:pPr>
        <w:spacing w:after="0" w:line="240" w:lineRule="auto"/>
      </w:pPr>
      <w:r>
        <w:separator/>
      </w:r>
    </w:p>
  </w:endnote>
  <w:endnote w:type="continuationSeparator" w:id="0">
    <w:p w14:paraId="09184947" w14:textId="77777777" w:rsidR="00CB2E66" w:rsidRDefault="00CB2E66" w:rsidP="007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B4AD" w14:textId="2177C23E" w:rsidR="0014509F" w:rsidRDefault="0014509F">
    <w:pPr>
      <w:pStyle w:val="Footer"/>
    </w:pPr>
    <w:r>
      <w:t>Version Date: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1D5E" w14:textId="77777777" w:rsidR="00CB2E66" w:rsidRDefault="00CB2E66" w:rsidP="00747041">
      <w:pPr>
        <w:spacing w:after="0" w:line="240" w:lineRule="auto"/>
      </w:pPr>
      <w:r>
        <w:separator/>
      </w:r>
    </w:p>
  </w:footnote>
  <w:footnote w:type="continuationSeparator" w:id="0">
    <w:p w14:paraId="175E1EB5" w14:textId="77777777" w:rsidR="00CB2E66" w:rsidRDefault="00CB2E66" w:rsidP="00747041">
      <w:pPr>
        <w:spacing w:after="0" w:line="240" w:lineRule="auto"/>
      </w:pPr>
      <w:r>
        <w:continuationSeparator/>
      </w:r>
    </w:p>
  </w:footnote>
  <w:footnote w:id="1">
    <w:p w14:paraId="22CB3F9D" w14:textId="72756F2B" w:rsidR="00B976F5" w:rsidRDefault="00B976F5" w:rsidP="00B976F5">
      <w:pPr>
        <w:pStyle w:val="FootnoteText"/>
      </w:pPr>
      <w:r>
        <w:rPr>
          <w:rStyle w:val="FootnoteReference"/>
        </w:rPr>
        <w:footnoteRef/>
      </w:r>
      <w:r>
        <w:t xml:space="preserve"> In the context of the policy, unfunded means research</w:t>
      </w:r>
      <w:r w:rsidRPr="00925F13">
        <w:t xml:space="preserve"> not directly charged or recovered from externally funded research grants </w:t>
      </w:r>
      <w:r>
        <w:t>or</w:t>
      </w:r>
      <w:r w:rsidRPr="00925F13">
        <w:t xml:space="preserve"> contracts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DC99" w14:textId="461D244B" w:rsidR="007617E2" w:rsidRDefault="007617E2">
    <w:pPr>
      <w:pStyle w:val="Header"/>
    </w:pPr>
    <w:r>
      <w:rPr>
        <w:rFonts w:cs="Arial"/>
        <w:b/>
        <w:noProof/>
        <w:sz w:val="32"/>
        <w:szCs w:val="32"/>
      </w:rPr>
      <w:drawing>
        <wp:anchor distT="0" distB="0" distL="114300" distR="114300" simplePos="0" relativeHeight="251659264" behindDoc="0" locked="0" layoutInCell="1" allowOverlap="1" wp14:anchorId="67061F78" wp14:editId="2C89E11C">
          <wp:simplePos x="0" y="0"/>
          <wp:positionH relativeFrom="column">
            <wp:posOffset>-584791</wp:posOffset>
          </wp:positionH>
          <wp:positionV relativeFrom="paragraph">
            <wp:posOffset>-308123</wp:posOffset>
          </wp:positionV>
          <wp:extent cx="951865" cy="695325"/>
          <wp:effectExtent l="0" t="0" r="635" b="9525"/>
          <wp:wrapSquare wrapText="bothSides"/>
          <wp:docPr id="1228971978" name="Picture 1" descr="UCSF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F logo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983"/>
    <w:multiLevelType w:val="multilevel"/>
    <w:tmpl w:val="51B84F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0BB2677"/>
    <w:multiLevelType w:val="multilevel"/>
    <w:tmpl w:val="D9541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76D43"/>
    <w:multiLevelType w:val="multilevel"/>
    <w:tmpl w:val="CB70FB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1B86D83"/>
    <w:multiLevelType w:val="multilevel"/>
    <w:tmpl w:val="0666B1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7E6CDC"/>
    <w:multiLevelType w:val="hybridMultilevel"/>
    <w:tmpl w:val="8402B3C4"/>
    <w:lvl w:ilvl="0" w:tplc="0436E00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05721B"/>
    <w:multiLevelType w:val="hybridMultilevel"/>
    <w:tmpl w:val="78C25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4088E"/>
    <w:multiLevelType w:val="multilevel"/>
    <w:tmpl w:val="AAA60F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09E6024"/>
    <w:multiLevelType w:val="multilevel"/>
    <w:tmpl w:val="2B90AB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25B0226"/>
    <w:multiLevelType w:val="multilevel"/>
    <w:tmpl w:val="2BC0B3F4"/>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539787F"/>
    <w:multiLevelType w:val="multilevel"/>
    <w:tmpl w:val="E34467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8642028"/>
    <w:multiLevelType w:val="multilevel"/>
    <w:tmpl w:val="ACB29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E7C84"/>
    <w:multiLevelType w:val="multilevel"/>
    <w:tmpl w:val="4F8C15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46F0675"/>
    <w:multiLevelType w:val="multilevel"/>
    <w:tmpl w:val="EF10CB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F810C8"/>
    <w:multiLevelType w:val="multilevel"/>
    <w:tmpl w:val="07A814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8647283"/>
    <w:multiLevelType w:val="multilevel"/>
    <w:tmpl w:val="BCE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474BA"/>
    <w:multiLevelType w:val="hybridMultilevel"/>
    <w:tmpl w:val="62B060F4"/>
    <w:lvl w:ilvl="0" w:tplc="FB2EBF08">
      <w:start w:val="1"/>
      <w:numFmt w:val="decimal"/>
      <w:lvlText w:val="%1)"/>
      <w:lvlJc w:val="left"/>
      <w:pPr>
        <w:ind w:left="360" w:hanging="360"/>
      </w:pPr>
      <w:rPr>
        <w:rFonts w:ascii="Aptos" w:eastAsia="Times New Roman" w:hAnsi="Aptos" w:cstheme="minorHAnsi"/>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254315"/>
    <w:multiLevelType w:val="multilevel"/>
    <w:tmpl w:val="600072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7343D95"/>
    <w:multiLevelType w:val="multilevel"/>
    <w:tmpl w:val="77FC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95459"/>
    <w:multiLevelType w:val="multilevel"/>
    <w:tmpl w:val="50682E9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5D9D26CC"/>
    <w:multiLevelType w:val="multilevel"/>
    <w:tmpl w:val="1F74F7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E940F55"/>
    <w:multiLevelType w:val="multilevel"/>
    <w:tmpl w:val="CBDE96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40D055D"/>
    <w:multiLevelType w:val="multilevel"/>
    <w:tmpl w:val="E6EEE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B127DF"/>
    <w:multiLevelType w:val="multilevel"/>
    <w:tmpl w:val="B3626A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CD42D3"/>
    <w:multiLevelType w:val="multilevel"/>
    <w:tmpl w:val="A6405B8A"/>
    <w:lvl w:ilvl="0">
      <w:start w:val="1"/>
      <w:numFmt w:val="upp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7E5E2027"/>
    <w:multiLevelType w:val="multilevel"/>
    <w:tmpl w:val="5B9A8F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56791038">
    <w:abstractNumId w:val="5"/>
  </w:num>
  <w:num w:numId="2" w16cid:durableId="430973546">
    <w:abstractNumId w:val="14"/>
  </w:num>
  <w:num w:numId="3" w16cid:durableId="1337070391">
    <w:abstractNumId w:val="15"/>
  </w:num>
  <w:num w:numId="4" w16cid:durableId="500391721">
    <w:abstractNumId w:val="4"/>
  </w:num>
  <w:num w:numId="5" w16cid:durableId="766077820">
    <w:abstractNumId w:val="17"/>
  </w:num>
  <w:num w:numId="6" w16cid:durableId="1174227537">
    <w:abstractNumId w:val="16"/>
  </w:num>
  <w:num w:numId="7" w16cid:durableId="1752045297">
    <w:abstractNumId w:val="10"/>
  </w:num>
  <w:num w:numId="8" w16cid:durableId="758867935">
    <w:abstractNumId w:val="19"/>
  </w:num>
  <w:num w:numId="9" w16cid:durableId="943807322">
    <w:abstractNumId w:val="6"/>
  </w:num>
  <w:num w:numId="10" w16cid:durableId="613905181">
    <w:abstractNumId w:val="21"/>
  </w:num>
  <w:num w:numId="11" w16cid:durableId="807168572">
    <w:abstractNumId w:val="20"/>
  </w:num>
  <w:num w:numId="12" w16cid:durableId="605160151">
    <w:abstractNumId w:val="13"/>
  </w:num>
  <w:num w:numId="13" w16cid:durableId="1673297284">
    <w:abstractNumId w:val="3"/>
  </w:num>
  <w:num w:numId="14" w16cid:durableId="1655793461">
    <w:abstractNumId w:val="0"/>
  </w:num>
  <w:num w:numId="15" w16cid:durableId="61300324">
    <w:abstractNumId w:val="7"/>
  </w:num>
  <w:num w:numId="16" w16cid:durableId="611594033">
    <w:abstractNumId w:val="22"/>
  </w:num>
  <w:num w:numId="17" w16cid:durableId="2025472357">
    <w:abstractNumId w:val="9"/>
  </w:num>
  <w:num w:numId="18" w16cid:durableId="1924995019">
    <w:abstractNumId w:val="24"/>
  </w:num>
  <w:num w:numId="19" w16cid:durableId="625625604">
    <w:abstractNumId w:val="1"/>
  </w:num>
  <w:num w:numId="20" w16cid:durableId="753208065">
    <w:abstractNumId w:val="11"/>
  </w:num>
  <w:num w:numId="21" w16cid:durableId="204952761">
    <w:abstractNumId w:val="12"/>
  </w:num>
  <w:num w:numId="22" w16cid:durableId="64882434">
    <w:abstractNumId w:val="2"/>
  </w:num>
  <w:num w:numId="23" w16cid:durableId="674766150">
    <w:abstractNumId w:val="23"/>
  </w:num>
  <w:num w:numId="24" w16cid:durableId="605580343">
    <w:abstractNumId w:val="8"/>
  </w:num>
  <w:num w:numId="25" w16cid:durableId="16188705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06"/>
    <w:rsid w:val="00041480"/>
    <w:rsid w:val="0007045A"/>
    <w:rsid w:val="00097742"/>
    <w:rsid w:val="000A2D2B"/>
    <w:rsid w:val="000A6521"/>
    <w:rsid w:val="000E05F7"/>
    <w:rsid w:val="000F5BC6"/>
    <w:rsid w:val="00100D68"/>
    <w:rsid w:val="00116807"/>
    <w:rsid w:val="0014509F"/>
    <w:rsid w:val="00155F34"/>
    <w:rsid w:val="00172D31"/>
    <w:rsid w:val="0017481D"/>
    <w:rsid w:val="001D0C1B"/>
    <w:rsid w:val="001E3C30"/>
    <w:rsid w:val="00200309"/>
    <w:rsid w:val="00207403"/>
    <w:rsid w:val="002077D8"/>
    <w:rsid w:val="00245E49"/>
    <w:rsid w:val="0026401D"/>
    <w:rsid w:val="00265D07"/>
    <w:rsid w:val="00291541"/>
    <w:rsid w:val="002B0054"/>
    <w:rsid w:val="002D4F1D"/>
    <w:rsid w:val="0030031A"/>
    <w:rsid w:val="00314E3D"/>
    <w:rsid w:val="00336455"/>
    <w:rsid w:val="003560CE"/>
    <w:rsid w:val="003A54E5"/>
    <w:rsid w:val="003E4CCA"/>
    <w:rsid w:val="00405B4C"/>
    <w:rsid w:val="00410D1B"/>
    <w:rsid w:val="004113A2"/>
    <w:rsid w:val="0042335E"/>
    <w:rsid w:val="00452390"/>
    <w:rsid w:val="00480206"/>
    <w:rsid w:val="00493737"/>
    <w:rsid w:val="004A22C9"/>
    <w:rsid w:val="004A7C43"/>
    <w:rsid w:val="004B0BE0"/>
    <w:rsid w:val="0050764F"/>
    <w:rsid w:val="0052147D"/>
    <w:rsid w:val="0055043A"/>
    <w:rsid w:val="0056211C"/>
    <w:rsid w:val="00586882"/>
    <w:rsid w:val="005B2143"/>
    <w:rsid w:val="005F6FA5"/>
    <w:rsid w:val="0063386C"/>
    <w:rsid w:val="006B4B79"/>
    <w:rsid w:val="006B7E45"/>
    <w:rsid w:val="006E53F3"/>
    <w:rsid w:val="00707742"/>
    <w:rsid w:val="00724323"/>
    <w:rsid w:val="00727990"/>
    <w:rsid w:val="00747041"/>
    <w:rsid w:val="00750E15"/>
    <w:rsid w:val="007617E2"/>
    <w:rsid w:val="007A65A6"/>
    <w:rsid w:val="007B44D7"/>
    <w:rsid w:val="007C16D8"/>
    <w:rsid w:val="007C3DC3"/>
    <w:rsid w:val="007F1DB1"/>
    <w:rsid w:val="007F732F"/>
    <w:rsid w:val="00831C52"/>
    <w:rsid w:val="00837851"/>
    <w:rsid w:val="00842AE0"/>
    <w:rsid w:val="008460A3"/>
    <w:rsid w:val="00847E59"/>
    <w:rsid w:val="00856542"/>
    <w:rsid w:val="00860F70"/>
    <w:rsid w:val="00875557"/>
    <w:rsid w:val="00882508"/>
    <w:rsid w:val="00886A34"/>
    <w:rsid w:val="008900DF"/>
    <w:rsid w:val="00892CFF"/>
    <w:rsid w:val="00895110"/>
    <w:rsid w:val="008B185A"/>
    <w:rsid w:val="008B37CE"/>
    <w:rsid w:val="008C0A18"/>
    <w:rsid w:val="009106C2"/>
    <w:rsid w:val="0091668B"/>
    <w:rsid w:val="009336B9"/>
    <w:rsid w:val="0094429A"/>
    <w:rsid w:val="00946C35"/>
    <w:rsid w:val="009650AE"/>
    <w:rsid w:val="0096702E"/>
    <w:rsid w:val="00A0611A"/>
    <w:rsid w:val="00A10D3A"/>
    <w:rsid w:val="00A133B3"/>
    <w:rsid w:val="00A44389"/>
    <w:rsid w:val="00A54892"/>
    <w:rsid w:val="00A6476D"/>
    <w:rsid w:val="00A66429"/>
    <w:rsid w:val="00A67CE4"/>
    <w:rsid w:val="00AA62E3"/>
    <w:rsid w:val="00AB0ABA"/>
    <w:rsid w:val="00B217F1"/>
    <w:rsid w:val="00B34DEE"/>
    <w:rsid w:val="00B53557"/>
    <w:rsid w:val="00B77B51"/>
    <w:rsid w:val="00B976F5"/>
    <w:rsid w:val="00BE4927"/>
    <w:rsid w:val="00C1045E"/>
    <w:rsid w:val="00C4033A"/>
    <w:rsid w:val="00C65FD3"/>
    <w:rsid w:val="00CB2E66"/>
    <w:rsid w:val="00D2321F"/>
    <w:rsid w:val="00D52B70"/>
    <w:rsid w:val="00D901D0"/>
    <w:rsid w:val="00D9412F"/>
    <w:rsid w:val="00DB72B6"/>
    <w:rsid w:val="00DC6940"/>
    <w:rsid w:val="00DE5D81"/>
    <w:rsid w:val="00DF2BEA"/>
    <w:rsid w:val="00E023E6"/>
    <w:rsid w:val="00E20FEA"/>
    <w:rsid w:val="00E24CC5"/>
    <w:rsid w:val="00E30D1D"/>
    <w:rsid w:val="00E37265"/>
    <w:rsid w:val="00E405B5"/>
    <w:rsid w:val="00E631F6"/>
    <w:rsid w:val="00EA4484"/>
    <w:rsid w:val="00ED0497"/>
    <w:rsid w:val="00F12CC7"/>
    <w:rsid w:val="00F27916"/>
    <w:rsid w:val="00F7716D"/>
    <w:rsid w:val="00F877C6"/>
    <w:rsid w:val="00F96474"/>
    <w:rsid w:val="00FC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112C"/>
  <w15:chartTrackingRefBased/>
  <w15:docId w15:val="{B10EF384-1D9F-4732-B47E-0180086D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206"/>
    <w:rPr>
      <w:rFonts w:eastAsiaTheme="majorEastAsia" w:cstheme="majorBidi"/>
      <w:color w:val="272727" w:themeColor="text1" w:themeTint="D8"/>
    </w:rPr>
  </w:style>
  <w:style w:type="paragraph" w:styleId="Title">
    <w:name w:val="Title"/>
    <w:basedOn w:val="Normal"/>
    <w:next w:val="Normal"/>
    <w:link w:val="TitleChar"/>
    <w:uiPriority w:val="10"/>
    <w:qFormat/>
    <w:rsid w:val="00480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206"/>
    <w:pPr>
      <w:spacing w:before="160"/>
      <w:jc w:val="center"/>
    </w:pPr>
    <w:rPr>
      <w:i/>
      <w:iCs/>
      <w:color w:val="404040" w:themeColor="text1" w:themeTint="BF"/>
    </w:rPr>
  </w:style>
  <w:style w:type="character" w:customStyle="1" w:styleId="QuoteChar">
    <w:name w:val="Quote Char"/>
    <w:basedOn w:val="DefaultParagraphFont"/>
    <w:link w:val="Quote"/>
    <w:uiPriority w:val="29"/>
    <w:rsid w:val="00480206"/>
    <w:rPr>
      <w:i/>
      <w:iCs/>
      <w:color w:val="404040" w:themeColor="text1" w:themeTint="BF"/>
    </w:rPr>
  </w:style>
  <w:style w:type="paragraph" w:styleId="ListParagraph">
    <w:name w:val="List Paragraph"/>
    <w:basedOn w:val="Normal"/>
    <w:uiPriority w:val="34"/>
    <w:qFormat/>
    <w:rsid w:val="00480206"/>
    <w:pPr>
      <w:ind w:left="720"/>
      <w:contextualSpacing/>
    </w:pPr>
  </w:style>
  <w:style w:type="character" w:styleId="IntenseEmphasis">
    <w:name w:val="Intense Emphasis"/>
    <w:basedOn w:val="DefaultParagraphFont"/>
    <w:uiPriority w:val="21"/>
    <w:qFormat/>
    <w:rsid w:val="00480206"/>
    <w:rPr>
      <w:i/>
      <w:iCs/>
      <w:color w:val="0F4761" w:themeColor="accent1" w:themeShade="BF"/>
    </w:rPr>
  </w:style>
  <w:style w:type="paragraph" w:styleId="IntenseQuote">
    <w:name w:val="Intense Quote"/>
    <w:basedOn w:val="Normal"/>
    <w:next w:val="Normal"/>
    <w:link w:val="IntenseQuoteChar"/>
    <w:uiPriority w:val="30"/>
    <w:qFormat/>
    <w:rsid w:val="00480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206"/>
    <w:rPr>
      <w:i/>
      <w:iCs/>
      <w:color w:val="0F4761" w:themeColor="accent1" w:themeShade="BF"/>
    </w:rPr>
  </w:style>
  <w:style w:type="character" w:styleId="IntenseReference">
    <w:name w:val="Intense Reference"/>
    <w:basedOn w:val="DefaultParagraphFont"/>
    <w:uiPriority w:val="32"/>
    <w:qFormat/>
    <w:rsid w:val="00480206"/>
    <w:rPr>
      <w:b/>
      <w:bCs/>
      <w:smallCaps/>
      <w:color w:val="0F4761" w:themeColor="accent1" w:themeShade="BF"/>
      <w:spacing w:val="5"/>
    </w:rPr>
  </w:style>
  <w:style w:type="character" w:styleId="Hyperlink">
    <w:name w:val="Hyperlink"/>
    <w:basedOn w:val="DefaultParagraphFont"/>
    <w:uiPriority w:val="99"/>
    <w:unhideWhenUsed/>
    <w:rsid w:val="00747041"/>
    <w:rPr>
      <w:color w:val="0000FF"/>
      <w:u w:val="single"/>
    </w:rPr>
  </w:style>
  <w:style w:type="paragraph" w:styleId="FootnoteText">
    <w:name w:val="footnote text"/>
    <w:basedOn w:val="Normal"/>
    <w:link w:val="FootnoteTextChar"/>
    <w:uiPriority w:val="99"/>
    <w:semiHidden/>
    <w:unhideWhenUsed/>
    <w:rsid w:val="0074704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47041"/>
    <w:rPr>
      <w:kern w:val="0"/>
      <w:sz w:val="20"/>
      <w:szCs w:val="20"/>
      <w14:ligatures w14:val="none"/>
    </w:rPr>
  </w:style>
  <w:style w:type="character" w:styleId="FootnoteReference">
    <w:name w:val="footnote reference"/>
    <w:basedOn w:val="DefaultParagraphFont"/>
    <w:uiPriority w:val="99"/>
    <w:semiHidden/>
    <w:unhideWhenUsed/>
    <w:rsid w:val="00747041"/>
    <w:rPr>
      <w:vertAlign w:val="superscript"/>
    </w:rPr>
  </w:style>
  <w:style w:type="character" w:styleId="UnresolvedMention">
    <w:name w:val="Unresolved Mention"/>
    <w:basedOn w:val="DefaultParagraphFont"/>
    <w:uiPriority w:val="99"/>
    <w:semiHidden/>
    <w:unhideWhenUsed/>
    <w:rsid w:val="00886A34"/>
    <w:rPr>
      <w:color w:val="605E5C"/>
      <w:shd w:val="clear" w:color="auto" w:fill="E1DFDD"/>
    </w:rPr>
  </w:style>
  <w:style w:type="character" w:styleId="CommentReference">
    <w:name w:val="annotation reference"/>
    <w:basedOn w:val="DefaultParagraphFont"/>
    <w:uiPriority w:val="99"/>
    <w:semiHidden/>
    <w:unhideWhenUsed/>
    <w:rsid w:val="00EA4484"/>
    <w:rPr>
      <w:sz w:val="16"/>
      <w:szCs w:val="16"/>
    </w:rPr>
  </w:style>
  <w:style w:type="paragraph" w:styleId="CommentText">
    <w:name w:val="annotation text"/>
    <w:basedOn w:val="Normal"/>
    <w:link w:val="CommentTextChar"/>
    <w:uiPriority w:val="99"/>
    <w:unhideWhenUsed/>
    <w:rsid w:val="00EA4484"/>
    <w:pPr>
      <w:spacing w:line="240" w:lineRule="auto"/>
    </w:pPr>
    <w:rPr>
      <w:sz w:val="20"/>
      <w:szCs w:val="20"/>
    </w:rPr>
  </w:style>
  <w:style w:type="character" w:customStyle="1" w:styleId="CommentTextChar">
    <w:name w:val="Comment Text Char"/>
    <w:basedOn w:val="DefaultParagraphFont"/>
    <w:link w:val="CommentText"/>
    <w:uiPriority w:val="99"/>
    <w:rsid w:val="00EA4484"/>
    <w:rPr>
      <w:sz w:val="20"/>
      <w:szCs w:val="20"/>
    </w:rPr>
  </w:style>
  <w:style w:type="paragraph" w:styleId="CommentSubject">
    <w:name w:val="annotation subject"/>
    <w:basedOn w:val="CommentText"/>
    <w:next w:val="CommentText"/>
    <w:link w:val="CommentSubjectChar"/>
    <w:uiPriority w:val="99"/>
    <w:semiHidden/>
    <w:unhideWhenUsed/>
    <w:rsid w:val="00EA4484"/>
    <w:rPr>
      <w:b/>
      <w:bCs/>
    </w:rPr>
  </w:style>
  <w:style w:type="character" w:customStyle="1" w:styleId="CommentSubjectChar">
    <w:name w:val="Comment Subject Char"/>
    <w:basedOn w:val="CommentTextChar"/>
    <w:link w:val="CommentSubject"/>
    <w:uiPriority w:val="99"/>
    <w:semiHidden/>
    <w:rsid w:val="00EA4484"/>
    <w:rPr>
      <w:b/>
      <w:bCs/>
      <w:sz w:val="20"/>
      <w:szCs w:val="20"/>
    </w:rPr>
  </w:style>
  <w:style w:type="paragraph" w:styleId="NormalWeb">
    <w:name w:val="Normal (Web)"/>
    <w:basedOn w:val="Normal"/>
    <w:uiPriority w:val="99"/>
    <w:semiHidden/>
    <w:unhideWhenUsed/>
    <w:rsid w:val="004A22C9"/>
    <w:rPr>
      <w:rFonts w:ascii="Times New Roman" w:hAnsi="Times New Roman" w:cs="Times New Roman"/>
    </w:rPr>
  </w:style>
  <w:style w:type="paragraph" w:styleId="Revision">
    <w:name w:val="Revision"/>
    <w:hidden/>
    <w:uiPriority w:val="99"/>
    <w:semiHidden/>
    <w:rsid w:val="00727990"/>
    <w:pPr>
      <w:spacing w:after="0" w:line="240" w:lineRule="auto"/>
    </w:pPr>
  </w:style>
  <w:style w:type="character" w:styleId="FollowedHyperlink">
    <w:name w:val="FollowedHyperlink"/>
    <w:basedOn w:val="DefaultParagraphFont"/>
    <w:uiPriority w:val="99"/>
    <w:semiHidden/>
    <w:unhideWhenUsed/>
    <w:rsid w:val="00D9412F"/>
    <w:rPr>
      <w:color w:val="96607D" w:themeColor="followedHyperlink"/>
      <w:u w:val="single"/>
    </w:rPr>
  </w:style>
  <w:style w:type="paragraph" w:styleId="Header">
    <w:name w:val="header"/>
    <w:basedOn w:val="Normal"/>
    <w:link w:val="HeaderChar"/>
    <w:uiPriority w:val="99"/>
    <w:unhideWhenUsed/>
    <w:rsid w:val="0014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09F"/>
  </w:style>
  <w:style w:type="paragraph" w:styleId="Footer">
    <w:name w:val="footer"/>
    <w:basedOn w:val="Normal"/>
    <w:link w:val="FooterChar"/>
    <w:uiPriority w:val="99"/>
    <w:unhideWhenUsed/>
    <w:rsid w:val="0014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ttps://policies.ucsf.edu/policy/40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Thomas</dc:creator>
  <cp:keywords/>
  <dc:description/>
  <cp:lastModifiedBy>Salazar, Thomas</cp:lastModifiedBy>
  <cp:revision>115</cp:revision>
  <dcterms:created xsi:type="dcterms:W3CDTF">2025-12-17T23:23:00Z</dcterms:created>
  <dcterms:modified xsi:type="dcterms:W3CDTF">2026-01-08T15:54:00Z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f8847a87-4783-425a-98a3-17de01c49a4b</vt:lpwstr>
  </property>
</Properties>
</file>