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E184" w14:textId="60A71845" w:rsidR="000E05F7" w:rsidRPr="0014509F" w:rsidRDefault="007617E2" w:rsidP="0014509F">
      <w:pPr>
        <w:jc w:val="center"/>
        <w:rPr>
          <w:b/>
          <w:bCs/>
          <w:sz w:val="28"/>
          <w:szCs w:val="28"/>
        </w:rPr>
      </w:pPr>
      <w:r>
        <w:rPr>
          <w:b/>
          <w:bCs/>
          <w:sz w:val="28"/>
          <w:szCs w:val="28"/>
        </w:rPr>
        <w:fldChar w:fldCharType="begin"/>
      </w:r>
      <w:r>
        <w:rPr>
          <w:b/>
          <w:bCs/>
          <w:sz w:val="28"/>
          <w:szCs w:val="28"/>
        </w:rPr>
        <w:instrText>HYPERLINK "mailto:https://policies.ucsf.edu/policy/400-22"</w:instrText>
      </w:r>
      <w:r>
        <w:rPr>
          <w:b/>
          <w:bCs/>
          <w:sz w:val="28"/>
          <w:szCs w:val="28"/>
        </w:rPr>
      </w:r>
      <w:r>
        <w:rPr>
          <w:b/>
          <w:bCs/>
          <w:sz w:val="28"/>
          <w:szCs w:val="28"/>
        </w:rPr>
        <w:fldChar w:fldCharType="separate"/>
      </w:r>
      <w:r w:rsidR="002077D8" w:rsidRPr="007617E2">
        <w:rPr>
          <w:rStyle w:val="Hyperlink"/>
          <w:b/>
          <w:bCs/>
          <w:sz w:val="28"/>
          <w:szCs w:val="28"/>
        </w:rPr>
        <w:t xml:space="preserve">Clinical Trials Registration &amp; Reporting </w:t>
      </w:r>
      <w:r w:rsidR="00480206" w:rsidRPr="007617E2">
        <w:rPr>
          <w:rStyle w:val="Hyperlink"/>
          <w:b/>
          <w:bCs/>
          <w:sz w:val="28"/>
          <w:szCs w:val="28"/>
        </w:rPr>
        <w:t>Policy</w:t>
      </w:r>
      <w:r>
        <w:rPr>
          <w:b/>
          <w:bCs/>
          <w:sz w:val="28"/>
          <w:szCs w:val="28"/>
        </w:rPr>
        <w:fldChar w:fldCharType="end"/>
      </w:r>
      <w:r w:rsidR="00480206" w:rsidRPr="0014509F">
        <w:rPr>
          <w:b/>
          <w:bCs/>
          <w:sz w:val="28"/>
          <w:szCs w:val="28"/>
        </w:rPr>
        <w:t xml:space="preserve"> FAQs</w:t>
      </w:r>
    </w:p>
    <w:p w14:paraId="12C728D2" w14:textId="7CE6CE46" w:rsidR="00847E59" w:rsidRDefault="00847E59" w:rsidP="000E05F7">
      <w:pPr>
        <w:pStyle w:val="ListParagraph"/>
        <w:numPr>
          <w:ilvl w:val="0"/>
          <w:numId w:val="1"/>
        </w:numPr>
        <w:rPr>
          <w:b/>
          <w:bCs/>
        </w:rPr>
      </w:pPr>
      <w:r>
        <w:rPr>
          <w:b/>
          <w:bCs/>
        </w:rPr>
        <w:t>Why was the Policy revised</w:t>
      </w:r>
      <w:r w:rsidR="007617E2">
        <w:rPr>
          <w:b/>
          <w:bCs/>
        </w:rPr>
        <w:t xml:space="preserve"> in 2026</w:t>
      </w:r>
      <w:r>
        <w:rPr>
          <w:b/>
          <w:bCs/>
        </w:rPr>
        <w:t>?</w:t>
      </w:r>
    </w:p>
    <w:p w14:paraId="1BD9814B" w14:textId="102DE3B3" w:rsidR="00847E59" w:rsidRPr="00F27916" w:rsidRDefault="007F1DB1" w:rsidP="00750E15">
      <w:pPr>
        <w:pStyle w:val="ListParagraph"/>
        <w:numPr>
          <w:ilvl w:val="1"/>
          <w:numId w:val="1"/>
        </w:numPr>
      </w:pPr>
      <w:r w:rsidRPr="007F1DB1">
        <w:t xml:space="preserve">The </w:t>
      </w:r>
      <w:r w:rsidR="00831C52">
        <w:t>Policy</w:t>
      </w:r>
      <w:r w:rsidRPr="007F1DB1">
        <w:t xml:space="preserve"> was revised to align with evolving best practices for clinical trial transparency and stricter enforcement of federal requirements. </w:t>
      </w:r>
      <w:r>
        <w:t>Over</w:t>
      </w:r>
      <w:r w:rsidR="00F27916" w:rsidRPr="00F27916">
        <w:t xml:space="preserve"> the past 12 years, the clinical trial transparency and reporting </w:t>
      </w:r>
      <w:r w:rsidR="00336455">
        <w:t>standards have</w:t>
      </w:r>
      <w:r w:rsidR="009336B9">
        <w:t xml:space="preserve"> improved </w:t>
      </w:r>
      <w:r w:rsidR="00F27916" w:rsidRPr="00F27916">
        <w:t>significantly</w:t>
      </w:r>
      <w:r w:rsidR="00493737">
        <w:t xml:space="preserve">, </w:t>
      </w:r>
      <w:r w:rsidR="00493737" w:rsidRPr="00493737">
        <w:t>emphasizing the importance of open science, reducing selective reporting, and enhancing scientific credibility.</w:t>
      </w:r>
      <w:r w:rsidR="003E4CCA">
        <w:t xml:space="preserve"> </w:t>
      </w:r>
      <w:r w:rsidR="004B0BE0" w:rsidRPr="004B0BE0">
        <w:t xml:space="preserve">These </w:t>
      </w:r>
      <w:r w:rsidR="00245E49">
        <w:t>Policy</w:t>
      </w:r>
      <w:r w:rsidR="00F96474">
        <w:t xml:space="preserve"> </w:t>
      </w:r>
      <w:r w:rsidR="004B0BE0" w:rsidRPr="004B0BE0">
        <w:t xml:space="preserve">updates </w:t>
      </w:r>
      <w:r w:rsidR="007F732F">
        <w:t>enable</w:t>
      </w:r>
      <w:r w:rsidR="004B0BE0">
        <w:t xml:space="preserve"> </w:t>
      </w:r>
      <w:r w:rsidR="007C16D8" w:rsidRPr="007C16D8">
        <w:t xml:space="preserve">UCSF to demonstrate its commitment to </w:t>
      </w:r>
      <w:r w:rsidR="007F732F">
        <w:t xml:space="preserve">upholding </w:t>
      </w:r>
      <w:r w:rsidR="007C16D8" w:rsidRPr="007C16D8">
        <w:t xml:space="preserve">public trust </w:t>
      </w:r>
      <w:r w:rsidR="005B2143">
        <w:t xml:space="preserve">and </w:t>
      </w:r>
      <w:r w:rsidR="007F732F">
        <w:t xml:space="preserve">adhering to </w:t>
      </w:r>
      <w:r w:rsidR="005B2143">
        <w:t>ethical research practices</w:t>
      </w:r>
      <w:r w:rsidR="007C16D8" w:rsidRPr="007C16D8">
        <w:t xml:space="preserve">. </w:t>
      </w:r>
      <w:r w:rsidR="00265D07">
        <w:t>Additionally,</w:t>
      </w:r>
      <w:r w:rsidR="007C16D8" w:rsidRPr="007C16D8">
        <w:t xml:space="preserve"> recent</w:t>
      </w:r>
      <w:r w:rsidR="00265D07">
        <w:t xml:space="preserve"> changes to global guideli</w:t>
      </w:r>
      <w:r w:rsidR="00D2321F">
        <w:t>n</w:t>
      </w:r>
      <w:r w:rsidR="00265D07">
        <w:t>es, including</w:t>
      </w:r>
      <w:r w:rsidR="0052147D">
        <w:t xml:space="preserve"> International Council for </w:t>
      </w:r>
      <w:proofErr w:type="spellStart"/>
      <w:r w:rsidR="0052147D">
        <w:t>Harmonisation</w:t>
      </w:r>
      <w:proofErr w:type="spellEnd"/>
      <w:r w:rsidR="0052147D">
        <w:t xml:space="preserve"> Good Clinical Practice</w:t>
      </w:r>
      <w:r w:rsidR="007C16D8" w:rsidRPr="007C16D8">
        <w:t xml:space="preserve"> </w:t>
      </w:r>
      <w:r w:rsidR="0052147D">
        <w:t>(</w:t>
      </w:r>
      <w:r w:rsidR="007C16D8" w:rsidRPr="007C16D8">
        <w:t>ICH-GCP</w:t>
      </w:r>
      <w:r w:rsidR="0052147D">
        <w:t>)</w:t>
      </w:r>
      <w:r w:rsidR="007C16D8" w:rsidRPr="007C16D8">
        <w:t xml:space="preserve"> E6 (R3) </w:t>
      </w:r>
      <w:proofErr w:type="gramStart"/>
      <w:r w:rsidR="007C16D8" w:rsidRPr="007C16D8">
        <w:t>updates,</w:t>
      </w:r>
      <w:proofErr w:type="gramEnd"/>
      <w:r w:rsidR="007C16D8" w:rsidRPr="007C16D8">
        <w:t xml:space="preserve"> emphasize the importance of transparency and clinical trial registration and results reporting</w:t>
      </w:r>
      <w:r w:rsidR="00750E15" w:rsidRPr="007C16D8">
        <w:t xml:space="preserve">. </w:t>
      </w:r>
      <w:r w:rsidR="00C65FD3">
        <w:t xml:space="preserve">Stricter enforcement by </w:t>
      </w:r>
      <w:r w:rsidR="0063386C" w:rsidRPr="0063386C">
        <w:t xml:space="preserve">both the FDA and NIH </w:t>
      </w:r>
      <w:r w:rsidR="00C65FD3">
        <w:t>further underscores</w:t>
      </w:r>
      <w:r w:rsidR="0091668B">
        <w:t xml:space="preserve"> the importance </w:t>
      </w:r>
      <w:r w:rsidR="0063386C" w:rsidRPr="0063386C">
        <w:t xml:space="preserve">of </w:t>
      </w:r>
      <w:r w:rsidR="00750E15">
        <w:t xml:space="preserve">compliance with </w:t>
      </w:r>
      <w:r w:rsidR="0063386C" w:rsidRPr="0063386C">
        <w:t>Clinical</w:t>
      </w:r>
      <w:r w:rsidR="00842AE0">
        <w:t>T</w:t>
      </w:r>
      <w:r w:rsidR="0063386C" w:rsidRPr="0063386C">
        <w:t xml:space="preserve">rials.gov registration and results reporting requirements. </w:t>
      </w:r>
    </w:p>
    <w:p w14:paraId="225542D3" w14:textId="672F0B08" w:rsidR="002077D8" w:rsidRDefault="00A0611A" w:rsidP="000E05F7">
      <w:pPr>
        <w:pStyle w:val="ListParagraph"/>
        <w:numPr>
          <w:ilvl w:val="0"/>
          <w:numId w:val="1"/>
        </w:numPr>
        <w:rPr>
          <w:b/>
          <w:bCs/>
        </w:rPr>
      </w:pPr>
      <w:r>
        <w:rPr>
          <w:b/>
          <w:bCs/>
        </w:rPr>
        <w:t xml:space="preserve">Does the updated Policy increase the </w:t>
      </w:r>
      <w:r w:rsidR="004113A2">
        <w:rPr>
          <w:b/>
          <w:bCs/>
        </w:rPr>
        <w:t xml:space="preserve">trial </w:t>
      </w:r>
      <w:r w:rsidR="00DE5D81">
        <w:rPr>
          <w:b/>
          <w:bCs/>
        </w:rPr>
        <w:t>registration</w:t>
      </w:r>
      <w:r w:rsidR="004113A2">
        <w:rPr>
          <w:b/>
          <w:bCs/>
        </w:rPr>
        <w:t xml:space="preserve"> </w:t>
      </w:r>
      <w:r>
        <w:rPr>
          <w:b/>
          <w:bCs/>
        </w:rPr>
        <w:t>scope of</w:t>
      </w:r>
      <w:r w:rsidR="00AB0ABA">
        <w:rPr>
          <w:b/>
          <w:bCs/>
        </w:rPr>
        <w:t xml:space="preserve"> </w:t>
      </w:r>
      <w:r w:rsidR="006E53F3">
        <w:rPr>
          <w:b/>
          <w:bCs/>
        </w:rPr>
        <w:t xml:space="preserve">the </w:t>
      </w:r>
      <w:r w:rsidR="002077D8">
        <w:rPr>
          <w:b/>
          <w:bCs/>
        </w:rPr>
        <w:t>original Policy?</w:t>
      </w:r>
    </w:p>
    <w:p w14:paraId="266C8AED" w14:textId="52A15C9E" w:rsidR="00A0611A" w:rsidRPr="002077D8" w:rsidRDefault="00946C35" w:rsidP="008B185A">
      <w:pPr>
        <w:pStyle w:val="ListParagraph"/>
        <w:numPr>
          <w:ilvl w:val="1"/>
          <w:numId w:val="1"/>
        </w:numPr>
      </w:pPr>
      <w:r w:rsidRPr="00946C35">
        <w:t xml:space="preserve">No, </w:t>
      </w:r>
      <w:r w:rsidRPr="00C857C7">
        <w:rPr>
          <w:u w:val="single"/>
        </w:rPr>
        <w:t xml:space="preserve">the scope of the </w:t>
      </w:r>
      <w:r w:rsidR="00245E49" w:rsidRPr="00C857C7">
        <w:rPr>
          <w:u w:val="single"/>
        </w:rPr>
        <w:t>Policy</w:t>
      </w:r>
      <w:r w:rsidRPr="00C857C7">
        <w:rPr>
          <w:u w:val="single"/>
        </w:rPr>
        <w:t xml:space="preserve"> remains unchanged</w:t>
      </w:r>
      <w:r w:rsidR="00E24CC5" w:rsidRPr="00C857C7">
        <w:rPr>
          <w:u w:val="single"/>
        </w:rPr>
        <w:t xml:space="preserve"> with these revisions</w:t>
      </w:r>
      <w:r w:rsidRPr="00946C35">
        <w:t>.</w:t>
      </w:r>
      <w:r w:rsidR="00116807">
        <w:t xml:space="preserve"> </w:t>
      </w:r>
      <w:r w:rsidR="00116807" w:rsidRPr="00116807">
        <w:t>Key requirements, such as registering all clinical trials before enrolling the first participant, have been in place since 2013.</w:t>
      </w:r>
      <w:r w:rsidR="004A7C43">
        <w:t xml:space="preserve"> </w:t>
      </w:r>
      <w:r w:rsidR="004A7C43" w:rsidRPr="004A7C43">
        <w:t xml:space="preserve">The updated </w:t>
      </w:r>
      <w:r w:rsidR="00245E49">
        <w:t>Policy</w:t>
      </w:r>
      <w:r w:rsidR="004A7C43" w:rsidRPr="004A7C43">
        <w:t xml:space="preserve"> continues to require registration of all clinical trials </w:t>
      </w:r>
      <w:r w:rsidR="002B0054">
        <w:t xml:space="preserve">prior to enrollment </w:t>
      </w:r>
      <w:r w:rsidR="004A7C43" w:rsidRPr="004A7C43">
        <w:t>based on the modified International Committee of Medical Journal Editors (ICMJE) definition, which is the industry standard.</w:t>
      </w:r>
      <w:r w:rsidR="00F877C6">
        <w:t xml:space="preserve"> </w:t>
      </w:r>
      <w:r w:rsidR="00D901D0">
        <w:t xml:space="preserve"> </w:t>
      </w:r>
      <w:r w:rsidR="00A44389">
        <w:t xml:space="preserve">Additionally, </w:t>
      </w:r>
      <w:r w:rsidR="00FC4CDC">
        <w:t xml:space="preserve">the Policy only requires results reporting when mandated by a federal regulation </w:t>
      </w:r>
      <w:r w:rsidR="00291541">
        <w:t xml:space="preserve">or </w:t>
      </w:r>
      <w:proofErr w:type="gramStart"/>
      <w:r w:rsidR="00586882">
        <w:t xml:space="preserve">policy  </w:t>
      </w:r>
      <w:r w:rsidR="00FC4CDC">
        <w:t>(</w:t>
      </w:r>
      <w:proofErr w:type="gramEnd"/>
      <w:r w:rsidR="00E631F6">
        <w:t>FDA, NIH, or funding entity).</w:t>
      </w:r>
    </w:p>
    <w:p w14:paraId="037DE2A7" w14:textId="77777777" w:rsidR="008900DF" w:rsidRDefault="008900DF" w:rsidP="008900DF">
      <w:pPr>
        <w:pStyle w:val="ListParagraph"/>
        <w:numPr>
          <w:ilvl w:val="0"/>
          <w:numId w:val="1"/>
        </w:numPr>
        <w:rPr>
          <w:b/>
          <w:bCs/>
        </w:rPr>
      </w:pPr>
      <w:r>
        <w:rPr>
          <w:b/>
          <w:bCs/>
        </w:rPr>
        <w:t>Does the updated Policy have any burden-reducing provisions?</w:t>
      </w:r>
    </w:p>
    <w:p w14:paraId="59C55C97" w14:textId="16908A00" w:rsidR="008900DF" w:rsidRPr="008900DF" w:rsidRDefault="008900DF" w:rsidP="008900DF">
      <w:pPr>
        <w:pStyle w:val="ListParagraph"/>
        <w:numPr>
          <w:ilvl w:val="1"/>
          <w:numId w:val="1"/>
        </w:numPr>
        <w:rPr>
          <w:b/>
          <w:bCs/>
        </w:rPr>
      </w:pPr>
      <w:r w:rsidRPr="00A54892">
        <w:t>The Policy now has an exemption to the registration requirements for certain research:</w:t>
      </w:r>
      <w:r>
        <w:rPr>
          <w:b/>
          <w:bCs/>
        </w:rPr>
        <w:t xml:space="preserve"> </w:t>
      </w:r>
      <w:r w:rsidRPr="0042155A">
        <w:t>Unfunded</w:t>
      </w:r>
      <w:r>
        <w:t xml:space="preserve"> research (meaning research</w:t>
      </w:r>
      <w:r w:rsidRPr="00925F13">
        <w:t xml:space="preserve"> not directly charged or recovered from externally funded research grants </w:t>
      </w:r>
      <w:r>
        <w:t>or</w:t>
      </w:r>
      <w:r w:rsidRPr="00925F13">
        <w:t xml:space="preserve"> contracts</w:t>
      </w:r>
      <w:r>
        <w:t>)</w:t>
      </w:r>
      <w:r w:rsidRPr="0042155A">
        <w:t xml:space="preserve"> </w:t>
      </w:r>
      <w:r>
        <w:t xml:space="preserve">with no intent to publish in an ICMJE journal, that is not otherwise subject to any clinical trial registration requirements (e.g., FDA, NIH, CMS), is exempt from the Policy’s registration requirements. Examples include small </w:t>
      </w:r>
      <w:r w:rsidRPr="00E023E6">
        <w:t>pilot studies focus</w:t>
      </w:r>
      <w:r>
        <w:t>ing</w:t>
      </w:r>
      <w:r w:rsidRPr="00E023E6">
        <w:t xml:space="preserve"> on feasibility and acceptability (rather than efficacy)</w:t>
      </w:r>
      <w:r>
        <w:t xml:space="preserve">. Please </w:t>
      </w:r>
      <w:r w:rsidRPr="0042155A">
        <w:t xml:space="preserve">contact the UCSF ClinicalTrials.gov Regulatory Support Team at </w:t>
      </w:r>
      <w:hyperlink r:id="rId7" w:history="1">
        <w:r w:rsidRPr="0042155A">
          <w:rPr>
            <w:rStyle w:val="Hyperlink"/>
          </w:rPr>
          <w:t>CT.gov@ucsf.edu</w:t>
        </w:r>
      </w:hyperlink>
      <w:r>
        <w:t xml:space="preserve"> for guidance.</w:t>
      </w:r>
    </w:p>
    <w:p w14:paraId="212068DA" w14:textId="38595782" w:rsidR="00707742" w:rsidRPr="008C0A18" w:rsidRDefault="00707742" w:rsidP="008C0A18">
      <w:pPr>
        <w:pStyle w:val="ListParagraph"/>
        <w:numPr>
          <w:ilvl w:val="0"/>
          <w:numId w:val="1"/>
        </w:numPr>
        <w:rPr>
          <w:b/>
          <w:bCs/>
        </w:rPr>
      </w:pPr>
      <w:r w:rsidRPr="00707742">
        <w:rPr>
          <w:b/>
          <w:bCs/>
        </w:rPr>
        <w:t>Do</w:t>
      </w:r>
      <w:r>
        <w:rPr>
          <w:b/>
          <w:bCs/>
        </w:rPr>
        <w:t xml:space="preserve"> the ClinicalTrials.gov registration requirements apply </w:t>
      </w:r>
      <w:r w:rsidRPr="00707742">
        <w:rPr>
          <w:b/>
          <w:bCs/>
        </w:rPr>
        <w:t xml:space="preserve">to human </w:t>
      </w:r>
      <w:proofErr w:type="gramStart"/>
      <w:r w:rsidRPr="00707742">
        <w:rPr>
          <w:b/>
          <w:bCs/>
        </w:rPr>
        <w:t>subjects</w:t>
      </w:r>
      <w:proofErr w:type="gramEnd"/>
      <w:r w:rsidRPr="00707742">
        <w:rPr>
          <w:b/>
          <w:bCs/>
        </w:rPr>
        <w:t xml:space="preserve"> research that does not measure a health outcome?</w:t>
      </w:r>
      <w:r w:rsidR="008C0A18">
        <w:rPr>
          <w:b/>
          <w:bCs/>
        </w:rPr>
        <w:t xml:space="preserve"> </w:t>
      </w:r>
      <w:r w:rsidR="008C0A18" w:rsidRPr="008C0A18">
        <w:rPr>
          <w:b/>
          <w:bCs/>
        </w:rPr>
        <w:t>Do</w:t>
      </w:r>
      <w:r w:rsidR="008900DF">
        <w:rPr>
          <w:b/>
          <w:bCs/>
        </w:rPr>
        <w:t xml:space="preserve"> these requirements </w:t>
      </w:r>
      <w:r w:rsidR="008900DF">
        <w:rPr>
          <w:b/>
          <w:bCs/>
        </w:rPr>
        <w:lastRenderedPageBreak/>
        <w:t xml:space="preserve">apply </w:t>
      </w:r>
      <w:r w:rsidR="008C0A18" w:rsidRPr="008C0A18">
        <w:rPr>
          <w:b/>
          <w:bCs/>
        </w:rPr>
        <w:t xml:space="preserve">if the primary outcome is not a health outcome, but some health outcomes are collected for the planning of future trials? </w:t>
      </w:r>
    </w:p>
    <w:p w14:paraId="786DEA95" w14:textId="51B894E7" w:rsidR="00D52B70" w:rsidRPr="00D52B70" w:rsidRDefault="00D52B70" w:rsidP="008C0A18">
      <w:pPr>
        <w:pStyle w:val="ListParagraph"/>
        <w:numPr>
          <w:ilvl w:val="1"/>
          <w:numId w:val="1"/>
        </w:numPr>
      </w:pPr>
      <w:r w:rsidRPr="00C857C7">
        <w:rPr>
          <w:u w:val="single"/>
        </w:rPr>
        <w:t>If no health outcome is being measured, the study is not within the scope of the modified-ICMJE clinical trial definition.</w:t>
      </w:r>
      <w:r w:rsidR="008C0A18">
        <w:t xml:space="preserve">  </w:t>
      </w:r>
      <w:r w:rsidR="008C0A18" w:rsidRPr="008C0A18">
        <w:t xml:space="preserve">Primary or secondary outcome measures must be health-related for the clinical trial definition to apply. Exploratory or other pre-specified outcome measures can be health-related, but if no primary or secondary outcome measures are health-related, the study would not fall within the scope of the </w:t>
      </w:r>
      <w:r w:rsidR="008C0A18">
        <w:t>P</w:t>
      </w:r>
      <w:r w:rsidR="008C0A18" w:rsidRPr="008C0A18">
        <w:t xml:space="preserve">olicy’s clinical trial definition. </w:t>
      </w:r>
    </w:p>
    <w:p w14:paraId="654C5C38" w14:textId="14DDEED7" w:rsidR="0042335E" w:rsidRDefault="0042335E" w:rsidP="000E05F7">
      <w:pPr>
        <w:pStyle w:val="ListParagraph"/>
        <w:numPr>
          <w:ilvl w:val="0"/>
          <w:numId w:val="1"/>
        </w:numPr>
        <w:rPr>
          <w:b/>
          <w:bCs/>
        </w:rPr>
      </w:pPr>
      <w:r>
        <w:rPr>
          <w:b/>
          <w:bCs/>
        </w:rPr>
        <w:t>How much time does it take to register a new study on ClinicalTrials.gov?</w:t>
      </w:r>
    </w:p>
    <w:p w14:paraId="1744E983" w14:textId="74E19B13" w:rsidR="001D0C1B" w:rsidRPr="001D0C1B" w:rsidRDefault="001D0C1B" w:rsidP="001D0C1B">
      <w:pPr>
        <w:pStyle w:val="ListParagraph"/>
        <w:numPr>
          <w:ilvl w:val="1"/>
          <w:numId w:val="1"/>
        </w:numPr>
      </w:pPr>
      <w:r w:rsidRPr="001D0C1B">
        <w:t>Based on the Ethics and Compliance’s Regulatory Support Office’s experience supporting investigators with Clinical</w:t>
      </w:r>
      <w:r w:rsidR="00875557">
        <w:t>T</w:t>
      </w:r>
      <w:r w:rsidRPr="001D0C1B">
        <w:t xml:space="preserve">rials.gov registration, the typical time investment required to successfully complete registration of a record is approximately </w:t>
      </w:r>
      <w:r w:rsidRPr="00C857C7">
        <w:rPr>
          <w:u w:val="single"/>
        </w:rPr>
        <w:t>30 minutes to 2 hours per study</w:t>
      </w:r>
      <w:r w:rsidRPr="001D0C1B">
        <w:t xml:space="preserve"> (dependent on study complexity) when </w:t>
      </w:r>
      <w:r>
        <w:t>the Regulatory Support O</w:t>
      </w:r>
      <w:r w:rsidRPr="001D0C1B">
        <w:t>ffice is consulted.</w:t>
      </w:r>
    </w:p>
    <w:p w14:paraId="102200B8" w14:textId="104C1E22" w:rsidR="00A54892" w:rsidRDefault="00A54892" w:rsidP="000E05F7">
      <w:pPr>
        <w:pStyle w:val="ListParagraph"/>
        <w:numPr>
          <w:ilvl w:val="0"/>
          <w:numId w:val="1"/>
        </w:numPr>
        <w:rPr>
          <w:b/>
          <w:bCs/>
        </w:rPr>
      </w:pPr>
      <w:r w:rsidRPr="00A54892">
        <w:rPr>
          <w:b/>
          <w:bCs/>
        </w:rPr>
        <w:t>Are there any tools to help me with registering my clinical tria</w:t>
      </w:r>
      <w:r>
        <w:rPr>
          <w:b/>
          <w:bCs/>
        </w:rPr>
        <w:t>l?</w:t>
      </w:r>
    </w:p>
    <w:p w14:paraId="33ED2C6A" w14:textId="7D4354FC" w:rsidR="00A54892" w:rsidRPr="00A54892" w:rsidRDefault="00A54892" w:rsidP="00A54892">
      <w:pPr>
        <w:pStyle w:val="ListParagraph"/>
        <w:numPr>
          <w:ilvl w:val="1"/>
          <w:numId w:val="1"/>
        </w:numPr>
      </w:pPr>
      <w:r w:rsidRPr="00A54892">
        <w:t xml:space="preserve">The UCSF Regulatory Support team has </w:t>
      </w:r>
      <w:r>
        <w:t>developed comprehensive guidance</w:t>
      </w:r>
      <w:r w:rsidR="0094429A">
        <w:t xml:space="preserve"> for registering clinical trials</w:t>
      </w:r>
      <w:r w:rsidR="00886A34">
        <w:t xml:space="preserve">. </w:t>
      </w:r>
      <w:r w:rsidR="00886A34" w:rsidRPr="00886A34">
        <w:t xml:space="preserve">The UCSF </w:t>
      </w:r>
      <w:hyperlink r:id="rId8" w:tooltip="PRS-Registration-Users-Guide-Dec-2025.pptx" w:history="1">
        <w:r w:rsidR="00886A34" w:rsidRPr="00886A34">
          <w:rPr>
            <w:rStyle w:val="Hyperlink"/>
          </w:rPr>
          <w:t xml:space="preserve">PRS Registration User Guide </w:t>
        </w:r>
      </w:hyperlink>
      <w:r w:rsidR="00886A34" w:rsidRPr="00886A34">
        <w:t>provides institution-specific guidance for UCSF.</w:t>
      </w:r>
    </w:p>
    <w:p w14:paraId="0DD2DFA3" w14:textId="53C4E166" w:rsidR="00724323" w:rsidRDefault="00724323" w:rsidP="000E05F7">
      <w:pPr>
        <w:pStyle w:val="ListParagraph"/>
        <w:numPr>
          <w:ilvl w:val="0"/>
          <w:numId w:val="1"/>
        </w:numPr>
        <w:rPr>
          <w:b/>
          <w:bCs/>
        </w:rPr>
      </w:pPr>
      <w:r>
        <w:rPr>
          <w:b/>
          <w:bCs/>
        </w:rPr>
        <w:t>Is ClinicalTrials.gov registration the same as results reporting?</w:t>
      </w:r>
    </w:p>
    <w:p w14:paraId="2444F0F9" w14:textId="4346936F" w:rsidR="000F5BC6" w:rsidRPr="000F5BC6" w:rsidRDefault="000F5BC6" w:rsidP="000F5BC6">
      <w:pPr>
        <w:pStyle w:val="ListParagraph"/>
        <w:numPr>
          <w:ilvl w:val="1"/>
          <w:numId w:val="1"/>
        </w:numPr>
      </w:pPr>
      <w:r w:rsidRPr="000F5BC6">
        <w:t>Clinical</w:t>
      </w:r>
      <w:r w:rsidR="00E37265">
        <w:t xml:space="preserve"> Trial </w:t>
      </w:r>
      <w:r w:rsidRPr="000F5BC6">
        <w:t>registration is a separate process from results reporting.</w:t>
      </w:r>
      <w:r>
        <w:t xml:space="preserve"> </w:t>
      </w:r>
      <w:r w:rsidR="00E37265">
        <w:t>Clinical Trial</w:t>
      </w:r>
      <w:r w:rsidRPr="000F5BC6">
        <w:t xml:space="preserve"> registration means posting key information about a trial’s design and objectives, while results reporting means posting a summary of the trial’s findings</w:t>
      </w:r>
      <w:r w:rsidR="00E37265">
        <w:t xml:space="preserve"> and is only required </w:t>
      </w:r>
      <w:r w:rsidR="00A66429">
        <w:t xml:space="preserve">for NIH-funded </w:t>
      </w:r>
      <w:r w:rsidR="003560CE">
        <w:t xml:space="preserve">clinical </w:t>
      </w:r>
      <w:r w:rsidR="00A66429">
        <w:t>trials, FDA “</w:t>
      </w:r>
      <w:hyperlink r:id="rId9" w:history="1">
        <w:r w:rsidR="000A2D2B" w:rsidRPr="00E10F0B">
          <w:rPr>
            <w:rStyle w:val="Hyperlink"/>
            <w:rFonts w:ascii="Aptos" w:hAnsi="Aptos"/>
          </w:rPr>
          <w:t>Applicable Clinical Trials</w:t>
        </w:r>
      </w:hyperlink>
      <w:r w:rsidR="000A2D2B" w:rsidRPr="00636885">
        <w:rPr>
          <w:rFonts w:ascii="Aptos" w:hAnsi="Aptos"/>
        </w:rPr>
        <w:t>”</w:t>
      </w:r>
      <w:r w:rsidR="00A66429">
        <w:t xml:space="preserve">, or when required by a funding entity. </w:t>
      </w:r>
      <w:r w:rsidR="00A66429" w:rsidRPr="00183E53">
        <w:rPr>
          <w:rFonts w:ascii="Aptos" w:eastAsia="Times New Roman" w:hAnsi="Aptos" w:cstheme="minorHAnsi"/>
        </w:rPr>
        <w:t xml:space="preserve">ICMJE and CMS do </w:t>
      </w:r>
      <w:r w:rsidR="00A66429" w:rsidRPr="00183E53">
        <w:rPr>
          <w:rFonts w:ascii="Aptos" w:eastAsia="Times New Roman" w:hAnsi="Aptos" w:cstheme="minorHAnsi"/>
          <w:u w:val="single"/>
        </w:rPr>
        <w:t>not</w:t>
      </w:r>
      <w:r w:rsidR="00A66429" w:rsidRPr="00183E53">
        <w:rPr>
          <w:rFonts w:ascii="Aptos" w:eastAsia="Times New Roman" w:hAnsi="Aptos" w:cstheme="minorHAnsi"/>
        </w:rPr>
        <w:t xml:space="preserve"> currently have results reporting requirements, therefore </w:t>
      </w:r>
      <w:r w:rsidR="00A66429" w:rsidRPr="00636885">
        <w:rPr>
          <w:rFonts w:ascii="Aptos" w:eastAsia="Times New Roman" w:hAnsi="Aptos" w:cstheme="minorHAnsi"/>
          <w:u w:val="single"/>
        </w:rPr>
        <w:t xml:space="preserve">results reporting is voluntary </w:t>
      </w:r>
      <w:r w:rsidR="00A66429" w:rsidRPr="00636885">
        <w:rPr>
          <w:rFonts w:ascii="Aptos" w:eastAsia="Times New Roman" w:hAnsi="Aptos" w:cstheme="minorHAnsi"/>
        </w:rPr>
        <w:t>for Clinical Trials that only fall under their purview.</w:t>
      </w:r>
    </w:p>
    <w:p w14:paraId="0E065FD0" w14:textId="3A22E149" w:rsidR="006B7E45" w:rsidRDefault="006B7E45" w:rsidP="000E05F7">
      <w:pPr>
        <w:pStyle w:val="ListParagraph"/>
        <w:numPr>
          <w:ilvl w:val="0"/>
          <w:numId w:val="1"/>
        </w:numPr>
        <w:rPr>
          <w:b/>
          <w:bCs/>
        </w:rPr>
      </w:pPr>
      <w:r>
        <w:rPr>
          <w:b/>
          <w:bCs/>
        </w:rPr>
        <w:t xml:space="preserve">My trial </w:t>
      </w:r>
      <w:r w:rsidR="00837851">
        <w:rPr>
          <w:b/>
          <w:bCs/>
        </w:rPr>
        <w:t xml:space="preserve">was </w:t>
      </w:r>
      <w:r w:rsidR="005F6FA5">
        <w:rPr>
          <w:b/>
          <w:bCs/>
        </w:rPr>
        <w:t>terminated;</w:t>
      </w:r>
      <w:r>
        <w:rPr>
          <w:b/>
          <w:bCs/>
        </w:rPr>
        <w:t xml:space="preserve"> do I still need to report results?</w:t>
      </w:r>
    </w:p>
    <w:p w14:paraId="3EAB7051" w14:textId="35E37EC0" w:rsidR="004A22C9" w:rsidRPr="004A22C9" w:rsidRDefault="004A22C9" w:rsidP="00ED0497">
      <w:pPr>
        <w:pStyle w:val="ListParagraph"/>
        <w:numPr>
          <w:ilvl w:val="1"/>
          <w:numId w:val="1"/>
        </w:numPr>
      </w:pPr>
      <w:r w:rsidRPr="004A22C9">
        <w:t xml:space="preserve">Yes, </w:t>
      </w:r>
      <w:r>
        <w:t xml:space="preserve">the NIH policy and FDA </w:t>
      </w:r>
      <w:r w:rsidR="006B4B79">
        <w:t>requirements</w:t>
      </w:r>
      <w:r>
        <w:t xml:space="preserve"> (FDAAA) on ClinicalTrials.gov </w:t>
      </w:r>
      <w:r w:rsidRPr="00C857C7">
        <w:rPr>
          <w:u w:val="single"/>
        </w:rPr>
        <w:t xml:space="preserve">results reporting still apply </w:t>
      </w:r>
      <w:r w:rsidR="00B53557" w:rsidRPr="00C857C7">
        <w:rPr>
          <w:u w:val="single"/>
        </w:rPr>
        <w:t>to</w:t>
      </w:r>
      <w:r w:rsidRPr="00C857C7">
        <w:rPr>
          <w:u w:val="single"/>
        </w:rPr>
        <w:t xml:space="preserve"> terminated trials</w:t>
      </w:r>
      <w:r w:rsidR="00ED0497" w:rsidRPr="00C857C7">
        <w:rPr>
          <w:u w:val="single"/>
        </w:rPr>
        <w:t xml:space="preserve"> </w:t>
      </w:r>
      <w:r w:rsidR="00B53557" w:rsidRPr="00C857C7">
        <w:rPr>
          <w:u w:val="single"/>
        </w:rPr>
        <w:t xml:space="preserve">for </w:t>
      </w:r>
      <w:r w:rsidR="00ED0497" w:rsidRPr="00C857C7">
        <w:rPr>
          <w:u w:val="single"/>
        </w:rPr>
        <w:t xml:space="preserve">any data </w:t>
      </w:r>
      <w:r w:rsidR="00B53557" w:rsidRPr="00C857C7">
        <w:rPr>
          <w:u w:val="single"/>
        </w:rPr>
        <w:t xml:space="preserve">that </w:t>
      </w:r>
      <w:r w:rsidR="006B4B79" w:rsidRPr="00C857C7">
        <w:rPr>
          <w:u w:val="single"/>
        </w:rPr>
        <w:t>wa</w:t>
      </w:r>
      <w:r w:rsidR="009106C2" w:rsidRPr="00C857C7">
        <w:rPr>
          <w:u w:val="single"/>
        </w:rPr>
        <w:t xml:space="preserve">s </w:t>
      </w:r>
      <w:r w:rsidR="00ED0497" w:rsidRPr="00C857C7">
        <w:rPr>
          <w:u w:val="single"/>
        </w:rPr>
        <w:t>collected</w:t>
      </w:r>
      <w:r w:rsidR="0030031A" w:rsidRPr="00C857C7">
        <w:rPr>
          <w:u w:val="single"/>
        </w:rPr>
        <w:t>, even if funding was withdrawn</w:t>
      </w:r>
      <w:r>
        <w:t xml:space="preserve">. </w:t>
      </w:r>
      <w:r w:rsidRPr="004A22C9">
        <w:t>If no participants were enrolled in the trial, set the Overall Recruitment Status to Withdrawn, and no results information will need to be submitted.</w:t>
      </w:r>
      <w:r w:rsidR="00ED0497">
        <w:t xml:space="preserve"> </w:t>
      </w:r>
      <w:r w:rsidRPr="004A22C9">
        <w:t xml:space="preserve">If participants were enrolled before trial termination but no data </w:t>
      </w:r>
      <w:r w:rsidR="009106C2" w:rsidRPr="004A22C9">
        <w:t>was</w:t>
      </w:r>
      <w:r w:rsidRPr="004A22C9">
        <w:t xml:space="preserve"> collected for one or more Outcome Measures, specify zero ("0") in the relevant Number of Participants Analyzed data element and leave the data fields blank for each Arm/Group. In this case, use the Analysis Population Description data element to explain that the trial was terminated before the outcome measure data were collected and, if appropriate, provide additional details in the Limitations and Caveats </w:t>
      </w:r>
      <w:r w:rsidRPr="004A22C9">
        <w:lastRenderedPageBreak/>
        <w:t xml:space="preserve">module. All other required </w:t>
      </w:r>
      <w:proofErr w:type="gramStart"/>
      <w:r w:rsidRPr="004A22C9">
        <w:t>results</w:t>
      </w:r>
      <w:proofErr w:type="gramEnd"/>
      <w:r w:rsidRPr="004A22C9">
        <w:t xml:space="preserve"> information collected for the enrolled participants </w:t>
      </w:r>
      <w:r w:rsidR="005F6FA5">
        <w:t>must</w:t>
      </w:r>
      <w:r w:rsidRPr="004A22C9">
        <w:t xml:space="preserve"> be submitted in each results</w:t>
      </w:r>
      <w:r w:rsidR="005F6FA5">
        <w:t xml:space="preserve"> reporting</w:t>
      </w:r>
      <w:r w:rsidRPr="004A22C9">
        <w:t xml:space="preserve"> module</w:t>
      </w:r>
      <w:r w:rsidR="005F6FA5">
        <w:t>.</w:t>
      </w:r>
    </w:p>
    <w:p w14:paraId="6A628BEC" w14:textId="132B1FDF" w:rsidR="009650AE" w:rsidRDefault="00895110" w:rsidP="009650AE">
      <w:pPr>
        <w:pStyle w:val="ListParagraph"/>
        <w:numPr>
          <w:ilvl w:val="0"/>
          <w:numId w:val="1"/>
        </w:numPr>
        <w:rPr>
          <w:b/>
          <w:bCs/>
        </w:rPr>
      </w:pPr>
      <w:r>
        <w:rPr>
          <w:b/>
          <w:bCs/>
        </w:rPr>
        <w:t xml:space="preserve"> I am having trouble reporting my results before the deadline</w:t>
      </w:r>
      <w:r w:rsidR="0056211C">
        <w:rPr>
          <w:b/>
          <w:bCs/>
        </w:rPr>
        <w:t>. Can</w:t>
      </w:r>
      <w:r>
        <w:rPr>
          <w:b/>
          <w:bCs/>
        </w:rPr>
        <w:t xml:space="preserve"> I file a Good Cause Extension?</w:t>
      </w:r>
    </w:p>
    <w:p w14:paraId="218368DE" w14:textId="0937D70E" w:rsidR="00895110" w:rsidRPr="009650AE" w:rsidRDefault="009650AE" w:rsidP="009650AE">
      <w:pPr>
        <w:pStyle w:val="ListParagraph"/>
        <w:numPr>
          <w:ilvl w:val="1"/>
          <w:numId w:val="1"/>
        </w:numPr>
      </w:pPr>
      <w:r w:rsidRPr="009650AE">
        <w:rPr>
          <w:rFonts w:ascii="Aptos" w:eastAsia="Times New Roman" w:hAnsi="Aptos" w:cstheme="minorHAnsi"/>
        </w:rPr>
        <w:t xml:space="preserve">Good Cause Extensions may be requested from the ClinicalTrials.gov PRS team prior to the due date for reporting results in certain circumstances. </w:t>
      </w:r>
      <w:r w:rsidR="00041480" w:rsidRPr="00041480">
        <w:rPr>
          <w:rFonts w:ascii="Aptos" w:eastAsia="Times New Roman" w:hAnsi="Aptos" w:cstheme="minorHAnsi"/>
        </w:rPr>
        <w:t>Approval of good cause extensions is at the discretion of ClinicalTrials.gov PRS Team</w:t>
      </w:r>
      <w:r w:rsidR="00041480">
        <w:rPr>
          <w:rFonts w:ascii="Aptos" w:eastAsia="Times New Roman" w:hAnsi="Aptos" w:cstheme="minorHAnsi"/>
          <w:b/>
          <w:bCs/>
        </w:rPr>
        <w:t xml:space="preserve">. </w:t>
      </w:r>
      <w:r w:rsidRPr="009650AE">
        <w:rPr>
          <w:rFonts w:ascii="Aptos" w:eastAsia="Times New Roman" w:hAnsi="Aptos" w:cstheme="minorHAnsi"/>
        </w:rPr>
        <w:t xml:space="preserve">Contact the </w:t>
      </w:r>
      <w:r w:rsidRPr="009650AE">
        <w:rPr>
          <w:rFonts w:ascii="Aptos" w:hAnsi="Aptos" w:cstheme="minorHAnsi"/>
        </w:rPr>
        <w:t>UCSF ClinicalTrials.gov Regulatory Support Team at</w:t>
      </w:r>
      <w:r w:rsidRPr="009650AE">
        <w:rPr>
          <w:rFonts w:ascii="Aptos" w:eastAsia="Times New Roman" w:hAnsi="Aptos" w:cstheme="minorHAnsi"/>
        </w:rPr>
        <w:t xml:space="preserve"> </w:t>
      </w:r>
      <w:hyperlink r:id="rId10" w:history="1">
        <w:r w:rsidRPr="009650AE">
          <w:rPr>
            <w:rStyle w:val="Hyperlink"/>
            <w:rFonts w:ascii="Aptos" w:eastAsia="Times New Roman" w:hAnsi="Aptos" w:cstheme="minorHAnsi"/>
          </w:rPr>
          <w:t>CT.gov@ucsf.edu</w:t>
        </w:r>
      </w:hyperlink>
      <w:r w:rsidRPr="009650AE">
        <w:rPr>
          <w:rFonts w:ascii="Aptos" w:eastAsia="Times New Roman" w:hAnsi="Aptos" w:cstheme="minorHAnsi"/>
        </w:rPr>
        <w:t xml:space="preserve"> for assistance with the extension. Please see the</w:t>
      </w:r>
      <w:r w:rsidR="00D9412F">
        <w:rPr>
          <w:rFonts w:ascii="Aptos" w:eastAsia="Times New Roman" w:hAnsi="Aptos" w:cstheme="minorHAnsi"/>
        </w:rPr>
        <w:t xml:space="preserve"> </w:t>
      </w:r>
      <w:hyperlink r:id="rId11" w:history="1">
        <w:r w:rsidR="00D9412F" w:rsidRPr="00D9412F">
          <w:rPr>
            <w:rStyle w:val="Hyperlink"/>
            <w:rFonts w:ascii="Aptos" w:eastAsia="Times New Roman" w:hAnsi="Aptos" w:cstheme="minorHAnsi"/>
          </w:rPr>
          <w:t>Clinical Trial Results Information Submission: Good Cause Extension Request Process and Criteria</w:t>
        </w:r>
      </w:hyperlink>
      <w:r w:rsidRPr="009650AE">
        <w:rPr>
          <w:rFonts w:ascii="Aptos" w:eastAsia="Times New Roman" w:hAnsi="Aptos" w:cstheme="minorHAnsi"/>
        </w:rPr>
        <w:t xml:space="preserve"> for official guidance on Good Cause Extensions.</w:t>
      </w:r>
    </w:p>
    <w:p w14:paraId="4C8101E2" w14:textId="467C3B76" w:rsidR="000E05F7" w:rsidRPr="00F7716D" w:rsidRDefault="000E05F7" w:rsidP="000E05F7">
      <w:pPr>
        <w:pStyle w:val="ListParagraph"/>
        <w:numPr>
          <w:ilvl w:val="0"/>
          <w:numId w:val="1"/>
        </w:numPr>
        <w:rPr>
          <w:b/>
          <w:bCs/>
        </w:rPr>
      </w:pPr>
      <w:r w:rsidRPr="00F7716D">
        <w:rPr>
          <w:b/>
          <w:bCs/>
        </w:rPr>
        <w:t xml:space="preserve">What are the consequences </w:t>
      </w:r>
      <w:r w:rsidR="00B217F1">
        <w:rPr>
          <w:b/>
          <w:bCs/>
        </w:rPr>
        <w:t>of</w:t>
      </w:r>
      <w:r w:rsidRPr="00F7716D">
        <w:rPr>
          <w:b/>
          <w:bCs/>
        </w:rPr>
        <w:t xml:space="preserve"> non-compliance</w:t>
      </w:r>
      <w:r w:rsidR="00AB0ABA">
        <w:rPr>
          <w:b/>
          <w:bCs/>
        </w:rPr>
        <w:t xml:space="preserve"> with the Policy</w:t>
      </w:r>
      <w:r w:rsidRPr="00F7716D">
        <w:rPr>
          <w:b/>
          <w:bCs/>
        </w:rPr>
        <w:t>?</w:t>
      </w:r>
    </w:p>
    <w:p w14:paraId="1AF32B57" w14:textId="605832C3" w:rsidR="000E05F7" w:rsidRDefault="000E05F7" w:rsidP="000E05F7">
      <w:pPr>
        <w:pStyle w:val="ListParagraph"/>
        <w:numPr>
          <w:ilvl w:val="1"/>
          <w:numId w:val="1"/>
        </w:numPr>
      </w:pPr>
      <w:r>
        <w:t xml:space="preserve">At UCSF, </w:t>
      </w:r>
      <w:r w:rsidR="002D4F1D" w:rsidRPr="00C857C7">
        <w:rPr>
          <w:u w:val="single"/>
        </w:rPr>
        <w:t xml:space="preserve">non-compliant </w:t>
      </w:r>
      <w:r w:rsidR="00410D1B" w:rsidRPr="00C857C7">
        <w:rPr>
          <w:u w:val="single"/>
        </w:rPr>
        <w:t>record</w:t>
      </w:r>
      <w:r w:rsidR="00892CFF" w:rsidRPr="00C857C7">
        <w:rPr>
          <w:u w:val="single"/>
        </w:rPr>
        <w:t>s</w:t>
      </w:r>
      <w:r w:rsidR="00410D1B" w:rsidRPr="00C857C7">
        <w:rPr>
          <w:u w:val="single"/>
        </w:rPr>
        <w:t xml:space="preserve"> will be escalated to the Record Owner’s Department Chair </w:t>
      </w:r>
      <w:r w:rsidR="00C4033A" w:rsidRPr="00C857C7">
        <w:rPr>
          <w:u w:val="single"/>
        </w:rPr>
        <w:t>for resolution</w:t>
      </w:r>
      <w:r w:rsidR="00A6476D" w:rsidRPr="00C857C7">
        <w:rPr>
          <w:u w:val="single"/>
        </w:rPr>
        <w:t>.</w:t>
      </w:r>
      <w:r w:rsidR="00A6476D">
        <w:t xml:space="preserve"> </w:t>
      </w:r>
      <w:r w:rsidR="001E3C30">
        <w:t>If the non-complian</w:t>
      </w:r>
      <w:r w:rsidR="00892CFF">
        <w:t>ce</w:t>
      </w:r>
      <w:r w:rsidR="001E3C30">
        <w:t xml:space="preserve"> persists, the Office of Ethics and Compliance may pursue further escalation procedures</w:t>
      </w:r>
      <w:r w:rsidR="0007045A">
        <w:t xml:space="preserve"> and </w:t>
      </w:r>
      <w:r w:rsidR="0007045A" w:rsidRPr="00F932FE">
        <w:rPr>
          <w:rFonts w:ascii="Aptos" w:eastAsia="Times New Roman" w:hAnsi="Aptos" w:cstheme="minorHAnsi"/>
        </w:rPr>
        <w:t>corrective action in accordance with applicable institutional policies and procedures</w:t>
      </w:r>
      <w:r w:rsidR="0007045A">
        <w:rPr>
          <w:rFonts w:ascii="Aptos" w:eastAsia="Times New Roman" w:hAnsi="Aptos" w:cstheme="minorHAnsi"/>
        </w:rPr>
        <w:t>.</w:t>
      </w:r>
    </w:p>
    <w:p w14:paraId="6E98F3AF" w14:textId="7B1C5007" w:rsidR="000E05F7" w:rsidRPr="000E05F7" w:rsidRDefault="000E05F7" w:rsidP="000E05F7">
      <w:pPr>
        <w:pStyle w:val="ListParagraph"/>
        <w:numPr>
          <w:ilvl w:val="1"/>
          <w:numId w:val="1"/>
        </w:numPr>
      </w:pPr>
      <w:r w:rsidRPr="000E05F7">
        <w:t xml:space="preserve">There are </w:t>
      </w:r>
      <w:r>
        <w:t xml:space="preserve">also </w:t>
      </w:r>
      <w:r w:rsidRPr="000E05F7">
        <w:t xml:space="preserve">potential legal consequences for the Responsible Parties if they do not comply with the </w:t>
      </w:r>
      <w:r w:rsidR="00AB0ABA">
        <w:t xml:space="preserve">regulatory </w:t>
      </w:r>
      <w:r w:rsidRPr="000E05F7">
        <w:t xml:space="preserve">requirements to submit registration and results information on ClinicalTrials.gov.  The consequences may include civil or criminal actions, civil monetary penalties, and </w:t>
      </w:r>
      <w:r w:rsidR="0014509F">
        <w:t>implications for grant funding</w:t>
      </w:r>
      <w:r w:rsidRPr="000E05F7">
        <w:t>.  Below are some examples:</w:t>
      </w:r>
    </w:p>
    <w:p w14:paraId="7CC978AE" w14:textId="41EF0EF8" w:rsidR="000E05F7" w:rsidRPr="000E05F7" w:rsidRDefault="000E05F7" w:rsidP="000E05F7">
      <w:pPr>
        <w:pStyle w:val="ListParagraph"/>
        <w:numPr>
          <w:ilvl w:val="2"/>
          <w:numId w:val="1"/>
        </w:numPr>
      </w:pPr>
      <w:r w:rsidRPr="00C857C7">
        <w:rPr>
          <w:u w:val="single"/>
        </w:rPr>
        <w:t>Food and Drug Administration Amendments Act (FDAAA):</w:t>
      </w:r>
      <w:r w:rsidRPr="000E05F7">
        <w:t xml:space="preserve"> Public notices of noncompliance and violations, withholding of federal funds, FDA sanctions, and civil monetary penalties</w:t>
      </w:r>
      <w:r w:rsidR="00772B42">
        <w:t>.</w:t>
      </w:r>
    </w:p>
    <w:p w14:paraId="5827B201" w14:textId="77777777" w:rsidR="000E05F7" w:rsidRPr="000E05F7" w:rsidRDefault="000E05F7" w:rsidP="000E05F7">
      <w:pPr>
        <w:pStyle w:val="ListParagraph"/>
        <w:numPr>
          <w:ilvl w:val="2"/>
          <w:numId w:val="1"/>
        </w:numPr>
      </w:pPr>
      <w:r w:rsidRPr="00C857C7">
        <w:rPr>
          <w:u w:val="single"/>
        </w:rPr>
        <w:t>NIH:</w:t>
      </w:r>
      <w:r w:rsidRPr="000E05F7">
        <w:t xml:space="preserve"> Suspension or termination of NIH grant or contract funding and consideration in future funding decisions. </w:t>
      </w:r>
    </w:p>
    <w:p w14:paraId="05E4C7E1" w14:textId="77777777" w:rsidR="000E05F7" w:rsidRPr="000E05F7" w:rsidRDefault="000E05F7" w:rsidP="000E05F7">
      <w:pPr>
        <w:pStyle w:val="ListParagraph"/>
        <w:numPr>
          <w:ilvl w:val="2"/>
          <w:numId w:val="1"/>
        </w:numPr>
      </w:pPr>
      <w:r w:rsidRPr="00C857C7">
        <w:rPr>
          <w:u w:val="single"/>
        </w:rPr>
        <w:t>ICMJE:</w:t>
      </w:r>
      <w:r w:rsidRPr="000E05F7">
        <w:t xml:space="preserve"> Refusal of publication in member medical journals following ICMJE policy. </w:t>
      </w:r>
    </w:p>
    <w:p w14:paraId="66A33AE1" w14:textId="0E7196E5" w:rsidR="000E05F7" w:rsidRDefault="007A65A6" w:rsidP="000E05F7">
      <w:pPr>
        <w:pStyle w:val="ListParagraph"/>
        <w:numPr>
          <w:ilvl w:val="1"/>
          <w:numId w:val="1"/>
        </w:numPr>
        <w:spacing w:line="259" w:lineRule="auto"/>
      </w:pPr>
      <w:r w:rsidRPr="00314E3D">
        <w:rPr>
          <w:rFonts w:ascii="Aptos" w:eastAsia="Times New Roman" w:hAnsi="Aptos" w:cstheme="minorHAnsi"/>
        </w:rPr>
        <w:t>The PI’s Department/Division will be responsible for any civil monetary penalties incurred due to noncompliance.</w:t>
      </w:r>
    </w:p>
    <w:sectPr w:rsidR="000E05F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3ACF" w14:textId="77777777" w:rsidR="00CC5B05" w:rsidRDefault="00CC5B05" w:rsidP="00747041">
      <w:pPr>
        <w:spacing w:after="0" w:line="240" w:lineRule="auto"/>
      </w:pPr>
      <w:r>
        <w:separator/>
      </w:r>
    </w:p>
  </w:endnote>
  <w:endnote w:type="continuationSeparator" w:id="0">
    <w:p w14:paraId="739F481D" w14:textId="77777777" w:rsidR="00CC5B05" w:rsidRDefault="00CC5B05" w:rsidP="007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B4AD" w14:textId="2177C23E" w:rsidR="0014509F" w:rsidRDefault="0014509F">
    <w:pPr>
      <w:pStyle w:val="Footer"/>
    </w:pPr>
    <w:r>
      <w:t>Version Date: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B55F" w14:textId="77777777" w:rsidR="00CC5B05" w:rsidRDefault="00CC5B05" w:rsidP="00747041">
      <w:pPr>
        <w:spacing w:after="0" w:line="240" w:lineRule="auto"/>
      </w:pPr>
      <w:r>
        <w:separator/>
      </w:r>
    </w:p>
  </w:footnote>
  <w:footnote w:type="continuationSeparator" w:id="0">
    <w:p w14:paraId="7A89D734" w14:textId="77777777" w:rsidR="00CC5B05" w:rsidRDefault="00CC5B05" w:rsidP="007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DC99" w14:textId="461D244B" w:rsidR="007617E2" w:rsidRDefault="007617E2">
    <w:pPr>
      <w:pStyle w:val="Header"/>
    </w:pPr>
    <w:r>
      <w:rPr>
        <w:rFonts w:cs="Arial"/>
        <w:b/>
        <w:noProof/>
        <w:sz w:val="32"/>
        <w:szCs w:val="32"/>
      </w:rPr>
      <w:drawing>
        <wp:anchor distT="0" distB="0" distL="114300" distR="114300" simplePos="0" relativeHeight="251659264" behindDoc="0" locked="0" layoutInCell="1" allowOverlap="1" wp14:anchorId="67061F78" wp14:editId="2C89E11C">
          <wp:simplePos x="0" y="0"/>
          <wp:positionH relativeFrom="column">
            <wp:posOffset>-584791</wp:posOffset>
          </wp:positionH>
          <wp:positionV relativeFrom="paragraph">
            <wp:posOffset>-308123</wp:posOffset>
          </wp:positionV>
          <wp:extent cx="951865" cy="695325"/>
          <wp:effectExtent l="0" t="0" r="635" b="9525"/>
          <wp:wrapSquare wrapText="bothSides"/>
          <wp:docPr id="1228971978" name="Picture 1" descr="UCSF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F logo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CDC"/>
    <w:multiLevelType w:val="hybridMultilevel"/>
    <w:tmpl w:val="8402B3C4"/>
    <w:lvl w:ilvl="0" w:tplc="0436E00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05721B"/>
    <w:multiLevelType w:val="hybridMultilevel"/>
    <w:tmpl w:val="78C25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47283"/>
    <w:multiLevelType w:val="multilevel"/>
    <w:tmpl w:val="BCE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474BA"/>
    <w:multiLevelType w:val="hybridMultilevel"/>
    <w:tmpl w:val="62B060F4"/>
    <w:lvl w:ilvl="0" w:tplc="FB2EBF08">
      <w:start w:val="1"/>
      <w:numFmt w:val="decimal"/>
      <w:lvlText w:val="%1)"/>
      <w:lvlJc w:val="left"/>
      <w:pPr>
        <w:ind w:left="360" w:hanging="360"/>
      </w:pPr>
      <w:rPr>
        <w:rFonts w:ascii="Aptos" w:eastAsia="Times New Roman" w:hAnsi="Aptos" w:cstheme="minorHAnsi"/>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6791038">
    <w:abstractNumId w:val="1"/>
  </w:num>
  <w:num w:numId="2" w16cid:durableId="430973546">
    <w:abstractNumId w:val="2"/>
  </w:num>
  <w:num w:numId="3" w16cid:durableId="1337070391">
    <w:abstractNumId w:val="3"/>
  </w:num>
  <w:num w:numId="4" w16cid:durableId="50039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06"/>
    <w:rsid w:val="00041480"/>
    <w:rsid w:val="0007045A"/>
    <w:rsid w:val="00097742"/>
    <w:rsid w:val="000A2D2B"/>
    <w:rsid w:val="000A6521"/>
    <w:rsid w:val="000E05F7"/>
    <w:rsid w:val="000F5BC6"/>
    <w:rsid w:val="00100D68"/>
    <w:rsid w:val="00116807"/>
    <w:rsid w:val="0014509F"/>
    <w:rsid w:val="00155F34"/>
    <w:rsid w:val="00172D31"/>
    <w:rsid w:val="0017481D"/>
    <w:rsid w:val="001D0C1B"/>
    <w:rsid w:val="001E3C30"/>
    <w:rsid w:val="00200309"/>
    <w:rsid w:val="00207403"/>
    <w:rsid w:val="002077D8"/>
    <w:rsid w:val="00245E49"/>
    <w:rsid w:val="0026401D"/>
    <w:rsid w:val="00265D07"/>
    <w:rsid w:val="00291541"/>
    <w:rsid w:val="002B0054"/>
    <w:rsid w:val="002D4F1D"/>
    <w:rsid w:val="0030031A"/>
    <w:rsid w:val="00314E3D"/>
    <w:rsid w:val="00336455"/>
    <w:rsid w:val="003560CE"/>
    <w:rsid w:val="003E4CCA"/>
    <w:rsid w:val="00405B4C"/>
    <w:rsid w:val="00410D1B"/>
    <w:rsid w:val="004113A2"/>
    <w:rsid w:val="0042335E"/>
    <w:rsid w:val="00452390"/>
    <w:rsid w:val="00480206"/>
    <w:rsid w:val="00493737"/>
    <w:rsid w:val="004A22C9"/>
    <w:rsid w:val="004A7C43"/>
    <w:rsid w:val="004B0BE0"/>
    <w:rsid w:val="0050764F"/>
    <w:rsid w:val="0052147D"/>
    <w:rsid w:val="0055043A"/>
    <w:rsid w:val="0056211C"/>
    <w:rsid w:val="00586882"/>
    <w:rsid w:val="005B2143"/>
    <w:rsid w:val="005F6FA5"/>
    <w:rsid w:val="0063386C"/>
    <w:rsid w:val="006B4B79"/>
    <w:rsid w:val="006B7E45"/>
    <w:rsid w:val="006E53F3"/>
    <w:rsid w:val="00707742"/>
    <w:rsid w:val="00724323"/>
    <w:rsid w:val="00727990"/>
    <w:rsid w:val="00747041"/>
    <w:rsid w:val="00750E15"/>
    <w:rsid w:val="007617E2"/>
    <w:rsid w:val="00772B42"/>
    <w:rsid w:val="007A65A6"/>
    <w:rsid w:val="007C16D8"/>
    <w:rsid w:val="007C3DC3"/>
    <w:rsid w:val="007F1DB1"/>
    <w:rsid w:val="007F732F"/>
    <w:rsid w:val="00831C52"/>
    <w:rsid w:val="00837851"/>
    <w:rsid w:val="00842AE0"/>
    <w:rsid w:val="008460A3"/>
    <w:rsid w:val="00847E59"/>
    <w:rsid w:val="00856542"/>
    <w:rsid w:val="00875557"/>
    <w:rsid w:val="00882508"/>
    <w:rsid w:val="00886A34"/>
    <w:rsid w:val="008900DF"/>
    <w:rsid w:val="00892CFF"/>
    <w:rsid w:val="00895110"/>
    <w:rsid w:val="008B185A"/>
    <w:rsid w:val="008B37CE"/>
    <w:rsid w:val="008C0A18"/>
    <w:rsid w:val="009106C2"/>
    <w:rsid w:val="0091668B"/>
    <w:rsid w:val="009336B9"/>
    <w:rsid w:val="0094429A"/>
    <w:rsid w:val="00946C35"/>
    <w:rsid w:val="009650AE"/>
    <w:rsid w:val="00A0611A"/>
    <w:rsid w:val="00A10D3A"/>
    <w:rsid w:val="00A133B3"/>
    <w:rsid w:val="00A44389"/>
    <w:rsid w:val="00A54892"/>
    <w:rsid w:val="00A6476D"/>
    <w:rsid w:val="00A66429"/>
    <w:rsid w:val="00A67CE4"/>
    <w:rsid w:val="00AA62E3"/>
    <w:rsid w:val="00AB0ABA"/>
    <w:rsid w:val="00B217F1"/>
    <w:rsid w:val="00B34DEE"/>
    <w:rsid w:val="00B53557"/>
    <w:rsid w:val="00B77B51"/>
    <w:rsid w:val="00BE4927"/>
    <w:rsid w:val="00C1045E"/>
    <w:rsid w:val="00C4033A"/>
    <w:rsid w:val="00C65FD3"/>
    <w:rsid w:val="00C857C7"/>
    <w:rsid w:val="00CC5B05"/>
    <w:rsid w:val="00D2321F"/>
    <w:rsid w:val="00D52B70"/>
    <w:rsid w:val="00D901D0"/>
    <w:rsid w:val="00D9412F"/>
    <w:rsid w:val="00DB72B6"/>
    <w:rsid w:val="00DC6940"/>
    <w:rsid w:val="00DE5D81"/>
    <w:rsid w:val="00DF2BEA"/>
    <w:rsid w:val="00E023E6"/>
    <w:rsid w:val="00E20FEA"/>
    <w:rsid w:val="00E24CC5"/>
    <w:rsid w:val="00E30D1D"/>
    <w:rsid w:val="00E37265"/>
    <w:rsid w:val="00E405B5"/>
    <w:rsid w:val="00E631F6"/>
    <w:rsid w:val="00EA4484"/>
    <w:rsid w:val="00ED0497"/>
    <w:rsid w:val="00F12CC7"/>
    <w:rsid w:val="00F27916"/>
    <w:rsid w:val="00F7716D"/>
    <w:rsid w:val="00F877C6"/>
    <w:rsid w:val="00F96474"/>
    <w:rsid w:val="00FC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112C"/>
  <w15:chartTrackingRefBased/>
  <w15:docId w15:val="{B10EF384-1D9F-4732-B47E-0180086D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206"/>
    <w:rPr>
      <w:rFonts w:eastAsiaTheme="majorEastAsia" w:cstheme="majorBidi"/>
      <w:color w:val="272727" w:themeColor="text1" w:themeTint="D8"/>
    </w:rPr>
  </w:style>
  <w:style w:type="paragraph" w:styleId="Title">
    <w:name w:val="Title"/>
    <w:basedOn w:val="Normal"/>
    <w:next w:val="Normal"/>
    <w:link w:val="TitleChar"/>
    <w:uiPriority w:val="10"/>
    <w:qFormat/>
    <w:rsid w:val="00480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206"/>
    <w:pPr>
      <w:spacing w:before="160"/>
      <w:jc w:val="center"/>
    </w:pPr>
    <w:rPr>
      <w:i/>
      <w:iCs/>
      <w:color w:val="404040" w:themeColor="text1" w:themeTint="BF"/>
    </w:rPr>
  </w:style>
  <w:style w:type="character" w:customStyle="1" w:styleId="QuoteChar">
    <w:name w:val="Quote Char"/>
    <w:basedOn w:val="DefaultParagraphFont"/>
    <w:link w:val="Quote"/>
    <w:uiPriority w:val="29"/>
    <w:rsid w:val="00480206"/>
    <w:rPr>
      <w:i/>
      <w:iCs/>
      <w:color w:val="404040" w:themeColor="text1" w:themeTint="BF"/>
    </w:rPr>
  </w:style>
  <w:style w:type="paragraph" w:styleId="ListParagraph">
    <w:name w:val="List Paragraph"/>
    <w:basedOn w:val="Normal"/>
    <w:uiPriority w:val="34"/>
    <w:qFormat/>
    <w:rsid w:val="00480206"/>
    <w:pPr>
      <w:ind w:left="720"/>
      <w:contextualSpacing/>
    </w:pPr>
  </w:style>
  <w:style w:type="character" w:styleId="IntenseEmphasis">
    <w:name w:val="Intense Emphasis"/>
    <w:basedOn w:val="DefaultParagraphFont"/>
    <w:uiPriority w:val="21"/>
    <w:qFormat/>
    <w:rsid w:val="00480206"/>
    <w:rPr>
      <w:i/>
      <w:iCs/>
      <w:color w:val="0F4761" w:themeColor="accent1" w:themeShade="BF"/>
    </w:rPr>
  </w:style>
  <w:style w:type="paragraph" w:styleId="IntenseQuote">
    <w:name w:val="Intense Quote"/>
    <w:basedOn w:val="Normal"/>
    <w:next w:val="Normal"/>
    <w:link w:val="IntenseQuoteChar"/>
    <w:uiPriority w:val="30"/>
    <w:qFormat/>
    <w:rsid w:val="00480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206"/>
    <w:rPr>
      <w:i/>
      <w:iCs/>
      <w:color w:val="0F4761" w:themeColor="accent1" w:themeShade="BF"/>
    </w:rPr>
  </w:style>
  <w:style w:type="character" w:styleId="IntenseReference">
    <w:name w:val="Intense Reference"/>
    <w:basedOn w:val="DefaultParagraphFont"/>
    <w:uiPriority w:val="32"/>
    <w:qFormat/>
    <w:rsid w:val="00480206"/>
    <w:rPr>
      <w:b/>
      <w:bCs/>
      <w:smallCaps/>
      <w:color w:val="0F4761" w:themeColor="accent1" w:themeShade="BF"/>
      <w:spacing w:val="5"/>
    </w:rPr>
  </w:style>
  <w:style w:type="character" w:styleId="Hyperlink">
    <w:name w:val="Hyperlink"/>
    <w:basedOn w:val="DefaultParagraphFont"/>
    <w:uiPriority w:val="99"/>
    <w:unhideWhenUsed/>
    <w:rsid w:val="00747041"/>
    <w:rPr>
      <w:color w:val="0000FF"/>
      <w:u w:val="single"/>
    </w:rPr>
  </w:style>
  <w:style w:type="paragraph" w:styleId="FootnoteText">
    <w:name w:val="footnote text"/>
    <w:basedOn w:val="Normal"/>
    <w:link w:val="FootnoteTextChar"/>
    <w:uiPriority w:val="99"/>
    <w:semiHidden/>
    <w:unhideWhenUsed/>
    <w:rsid w:val="0074704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47041"/>
    <w:rPr>
      <w:kern w:val="0"/>
      <w:sz w:val="20"/>
      <w:szCs w:val="20"/>
      <w14:ligatures w14:val="none"/>
    </w:rPr>
  </w:style>
  <w:style w:type="character" w:styleId="FootnoteReference">
    <w:name w:val="footnote reference"/>
    <w:basedOn w:val="DefaultParagraphFont"/>
    <w:uiPriority w:val="99"/>
    <w:semiHidden/>
    <w:unhideWhenUsed/>
    <w:rsid w:val="00747041"/>
    <w:rPr>
      <w:vertAlign w:val="superscript"/>
    </w:rPr>
  </w:style>
  <w:style w:type="character" w:styleId="UnresolvedMention">
    <w:name w:val="Unresolved Mention"/>
    <w:basedOn w:val="DefaultParagraphFont"/>
    <w:uiPriority w:val="99"/>
    <w:semiHidden/>
    <w:unhideWhenUsed/>
    <w:rsid w:val="00886A34"/>
    <w:rPr>
      <w:color w:val="605E5C"/>
      <w:shd w:val="clear" w:color="auto" w:fill="E1DFDD"/>
    </w:rPr>
  </w:style>
  <w:style w:type="character" w:styleId="CommentReference">
    <w:name w:val="annotation reference"/>
    <w:basedOn w:val="DefaultParagraphFont"/>
    <w:uiPriority w:val="99"/>
    <w:semiHidden/>
    <w:unhideWhenUsed/>
    <w:rsid w:val="00EA4484"/>
    <w:rPr>
      <w:sz w:val="16"/>
      <w:szCs w:val="16"/>
    </w:rPr>
  </w:style>
  <w:style w:type="paragraph" w:styleId="CommentText">
    <w:name w:val="annotation text"/>
    <w:basedOn w:val="Normal"/>
    <w:link w:val="CommentTextChar"/>
    <w:uiPriority w:val="99"/>
    <w:unhideWhenUsed/>
    <w:rsid w:val="00EA4484"/>
    <w:pPr>
      <w:spacing w:line="240" w:lineRule="auto"/>
    </w:pPr>
    <w:rPr>
      <w:sz w:val="20"/>
      <w:szCs w:val="20"/>
    </w:rPr>
  </w:style>
  <w:style w:type="character" w:customStyle="1" w:styleId="CommentTextChar">
    <w:name w:val="Comment Text Char"/>
    <w:basedOn w:val="DefaultParagraphFont"/>
    <w:link w:val="CommentText"/>
    <w:uiPriority w:val="99"/>
    <w:rsid w:val="00EA4484"/>
    <w:rPr>
      <w:sz w:val="20"/>
      <w:szCs w:val="20"/>
    </w:rPr>
  </w:style>
  <w:style w:type="paragraph" w:styleId="CommentSubject">
    <w:name w:val="annotation subject"/>
    <w:basedOn w:val="CommentText"/>
    <w:next w:val="CommentText"/>
    <w:link w:val="CommentSubjectChar"/>
    <w:uiPriority w:val="99"/>
    <w:semiHidden/>
    <w:unhideWhenUsed/>
    <w:rsid w:val="00EA4484"/>
    <w:rPr>
      <w:b/>
      <w:bCs/>
    </w:rPr>
  </w:style>
  <w:style w:type="character" w:customStyle="1" w:styleId="CommentSubjectChar">
    <w:name w:val="Comment Subject Char"/>
    <w:basedOn w:val="CommentTextChar"/>
    <w:link w:val="CommentSubject"/>
    <w:uiPriority w:val="99"/>
    <w:semiHidden/>
    <w:rsid w:val="00EA4484"/>
    <w:rPr>
      <w:b/>
      <w:bCs/>
      <w:sz w:val="20"/>
      <w:szCs w:val="20"/>
    </w:rPr>
  </w:style>
  <w:style w:type="paragraph" w:styleId="NormalWeb">
    <w:name w:val="Normal (Web)"/>
    <w:basedOn w:val="Normal"/>
    <w:uiPriority w:val="99"/>
    <w:semiHidden/>
    <w:unhideWhenUsed/>
    <w:rsid w:val="004A22C9"/>
    <w:rPr>
      <w:rFonts w:ascii="Times New Roman" w:hAnsi="Times New Roman" w:cs="Times New Roman"/>
    </w:rPr>
  </w:style>
  <w:style w:type="paragraph" w:styleId="Revision">
    <w:name w:val="Revision"/>
    <w:hidden/>
    <w:uiPriority w:val="99"/>
    <w:semiHidden/>
    <w:rsid w:val="00727990"/>
    <w:pPr>
      <w:spacing w:after="0" w:line="240" w:lineRule="auto"/>
    </w:pPr>
  </w:style>
  <w:style w:type="character" w:styleId="FollowedHyperlink">
    <w:name w:val="FollowedHyperlink"/>
    <w:basedOn w:val="DefaultParagraphFont"/>
    <w:uiPriority w:val="99"/>
    <w:semiHidden/>
    <w:unhideWhenUsed/>
    <w:rsid w:val="00D9412F"/>
    <w:rPr>
      <w:color w:val="96607D" w:themeColor="followedHyperlink"/>
      <w:u w:val="single"/>
    </w:rPr>
  </w:style>
  <w:style w:type="paragraph" w:styleId="Header">
    <w:name w:val="header"/>
    <w:basedOn w:val="Normal"/>
    <w:link w:val="HeaderChar"/>
    <w:uiPriority w:val="99"/>
    <w:unhideWhenUsed/>
    <w:rsid w:val="0014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09F"/>
  </w:style>
  <w:style w:type="paragraph" w:styleId="Footer">
    <w:name w:val="footer"/>
    <w:basedOn w:val="Normal"/>
    <w:link w:val="FooterChar"/>
    <w:uiPriority w:val="99"/>
    <w:unhideWhenUsed/>
    <w:rsid w:val="0014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ucsf.edu/sites/compliance.ucsf.edu/files/2025-12/PRS-Registration-Users-Guide-Dec-2025_0.ppt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T.gov@ucsf.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clinicaltrials.gov/documents/GCE_Criteria_final_50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T.gov@ucsf.edu" TargetMode="External"/><Relationship Id="rId4" Type="http://schemas.openxmlformats.org/officeDocument/2006/relationships/webSettings" Target="webSettings.xml"/><Relationship Id="rId9" Type="http://schemas.openxmlformats.org/officeDocument/2006/relationships/hyperlink" Target="https://clinicaltrials.gov/policy/fdaaa-801-final-r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1136</Words>
  <Characters>6481</Characters>
  <Application>Microsoft Office Word</Application>
  <DocSecurity>0</DocSecurity>
  <Lines>54</Lines>
  <Paragraphs>15</Paragraphs>
  <ScaleCrop>false</ScaleCrop>
  <Company>UCSF</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Thomas</dc:creator>
  <cp:keywords/>
  <dc:description/>
  <cp:lastModifiedBy>Salazar, Thomas</cp:lastModifiedBy>
  <cp:revision>114</cp:revision>
  <dcterms:created xsi:type="dcterms:W3CDTF">2025-12-17T23:23:00Z</dcterms:created>
  <dcterms:modified xsi:type="dcterms:W3CDTF">2026-01-08T00:45:00Z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f8847a87-4783-425a-98a3-17de01c49a4b</vt:lpwstr>
  </property>
</Properties>
</file>