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79A5" w14:textId="53A4C1E6" w:rsidR="003B35C9" w:rsidRPr="00D551CC" w:rsidRDefault="00911111" w:rsidP="00911111">
      <w:pPr>
        <w:pStyle w:val="Heading1"/>
        <w:jc w:val="center"/>
        <w:rPr>
          <w:rFonts w:eastAsia="Calibri"/>
          <w:sz w:val="32"/>
          <w:szCs w:val="24"/>
          <w:u w:val="single"/>
        </w:rPr>
      </w:pPr>
      <w:r w:rsidRPr="003E4626">
        <w:rPr>
          <w:rFonts w:eastAsia="Calibri"/>
          <w:sz w:val="32"/>
          <w:szCs w:val="24"/>
        </w:rPr>
        <w:t xml:space="preserve">            </w:t>
      </w:r>
      <w:r w:rsidR="003B35C9" w:rsidRPr="003E4626">
        <w:rPr>
          <w:rFonts w:eastAsia="Calibri"/>
          <w:sz w:val="32"/>
          <w:szCs w:val="24"/>
          <w:u w:val="single"/>
        </w:rPr>
        <w:t>Overview</w:t>
      </w:r>
    </w:p>
    <w:p w14:paraId="30989988" w14:textId="662B25AC" w:rsidR="005D60DF" w:rsidRPr="00D551CC" w:rsidRDefault="003B35C9" w:rsidP="00405177">
      <w:pPr>
        <w:tabs>
          <w:tab w:val="left" w:pos="1980"/>
          <w:tab w:val="left" w:pos="8460"/>
        </w:tabs>
        <w:spacing w:before="240"/>
        <w:rPr>
          <w:rFonts w:eastAsia="Calibri"/>
          <w:iCs/>
          <w:sz w:val="24"/>
          <w:szCs w:val="24"/>
        </w:rPr>
      </w:pPr>
      <w:r w:rsidRPr="00D551CC">
        <w:rPr>
          <w:rFonts w:eastAsia="Calibri"/>
          <w:iCs/>
          <w:sz w:val="24"/>
          <w:szCs w:val="24"/>
        </w:rPr>
        <w:t>On January 6, 2025,</w:t>
      </w:r>
      <w:r w:rsidRPr="00D551CC">
        <w:rPr>
          <w:rFonts w:eastAsia="Calibri"/>
          <w:iCs/>
          <w:sz w:val="24"/>
          <w:szCs w:val="24"/>
          <w:u w:val="single"/>
        </w:rPr>
        <w:t xml:space="preserve"> the International Council for </w:t>
      </w:r>
      <w:proofErr w:type="spellStart"/>
      <w:proofErr w:type="gramStart"/>
      <w:r w:rsidRPr="00D551CC">
        <w:rPr>
          <w:rFonts w:eastAsia="Calibri"/>
          <w:iCs/>
          <w:sz w:val="24"/>
          <w:szCs w:val="24"/>
          <w:u w:val="single"/>
        </w:rPr>
        <w:t>Harmonisation</w:t>
      </w:r>
      <w:proofErr w:type="spellEnd"/>
      <w:r w:rsidRPr="00D551CC">
        <w:rPr>
          <w:rFonts w:eastAsia="Calibri"/>
          <w:iCs/>
          <w:sz w:val="24"/>
          <w:szCs w:val="24"/>
        </w:rPr>
        <w:t xml:space="preserve"> </w:t>
      </w:r>
      <w:r w:rsidR="00D551CC" w:rsidRPr="00D551CC">
        <w:rPr>
          <w:rFonts w:eastAsia="Calibri"/>
          <w:iCs/>
          <w:sz w:val="24"/>
          <w:szCs w:val="24"/>
        </w:rPr>
        <w:t xml:space="preserve"> </w:t>
      </w:r>
      <w:r w:rsidRPr="00D551CC">
        <w:rPr>
          <w:rFonts w:eastAsia="Calibri"/>
          <w:iCs/>
          <w:sz w:val="24"/>
          <w:szCs w:val="24"/>
        </w:rPr>
        <w:t>(</w:t>
      </w:r>
      <w:proofErr w:type="gramEnd"/>
      <w:r w:rsidRPr="00D551CC">
        <w:rPr>
          <w:rFonts w:eastAsia="Calibri"/>
          <w:iCs/>
          <w:sz w:val="24"/>
          <w:szCs w:val="24"/>
        </w:rPr>
        <w:t xml:space="preserve">ICH) issued its final version of the </w:t>
      </w:r>
      <w:r w:rsidRPr="00D551CC">
        <w:rPr>
          <w:rFonts w:eastAsia="Calibri"/>
          <w:b/>
          <w:bCs/>
          <w:iCs/>
          <w:sz w:val="24"/>
          <w:szCs w:val="24"/>
        </w:rPr>
        <w:t>“Guideline for Good Clinical Practice E6(R3)”</w:t>
      </w:r>
      <w:r w:rsidRPr="00D551CC">
        <w:rPr>
          <w:rFonts w:eastAsia="Calibri"/>
          <w:iCs/>
          <w:sz w:val="24"/>
          <w:szCs w:val="24"/>
        </w:rPr>
        <w:t xml:space="preserve"> to update its 2016 E6(R2) GCP guideline.</w:t>
      </w:r>
      <w:r w:rsidR="005D60DF" w:rsidRPr="00D551CC">
        <w:rPr>
          <w:rFonts w:eastAsia="Calibri"/>
          <w:iCs/>
          <w:sz w:val="24"/>
          <w:szCs w:val="24"/>
        </w:rPr>
        <w:t xml:space="preserve"> </w:t>
      </w:r>
      <w:r w:rsidR="00405177" w:rsidRPr="00D551CC">
        <w:rPr>
          <w:rFonts w:eastAsia="Calibri"/>
          <w:iCs/>
          <w:sz w:val="24"/>
          <w:szCs w:val="24"/>
        </w:rPr>
        <w:t xml:space="preserve">This brief review discusses the impact of the </w:t>
      </w:r>
      <w:r w:rsidR="00911111" w:rsidRPr="00D551CC">
        <w:rPr>
          <w:rFonts w:eastAsia="Calibri"/>
          <w:iCs/>
          <w:sz w:val="24"/>
          <w:szCs w:val="24"/>
        </w:rPr>
        <w:t>guidelines</w:t>
      </w:r>
      <w:r w:rsidR="00405177" w:rsidRPr="00D551CC">
        <w:rPr>
          <w:rFonts w:eastAsia="Calibri"/>
          <w:iCs/>
          <w:sz w:val="24"/>
          <w:szCs w:val="24"/>
        </w:rPr>
        <w:t xml:space="preserve"> on trial conduct </w:t>
      </w:r>
      <w:r w:rsidRPr="00D551CC">
        <w:rPr>
          <w:rFonts w:eastAsia="Calibri"/>
          <w:iCs/>
          <w:sz w:val="24"/>
          <w:szCs w:val="24"/>
        </w:rPr>
        <w:t>at UCSF.</w:t>
      </w:r>
    </w:p>
    <w:p w14:paraId="3E5D9F63" w14:textId="77777777" w:rsidR="00D551CC" w:rsidRPr="00D551CC" w:rsidRDefault="00D551CC" w:rsidP="00911111">
      <w:pPr>
        <w:pStyle w:val="Heading1"/>
        <w:rPr>
          <w:rFonts w:eastAsia="Calibri"/>
          <w:sz w:val="28"/>
          <w:szCs w:val="22"/>
          <w:u w:val="single"/>
        </w:rPr>
      </w:pPr>
    </w:p>
    <w:p w14:paraId="4DA518D2" w14:textId="4BBCA4AB" w:rsidR="00911111" w:rsidRPr="00D551CC" w:rsidRDefault="00911111" w:rsidP="00911111">
      <w:pPr>
        <w:pStyle w:val="Heading1"/>
        <w:rPr>
          <w:rFonts w:eastAsia="Calibri"/>
          <w:sz w:val="28"/>
          <w:szCs w:val="22"/>
          <w:u w:val="single"/>
        </w:rPr>
      </w:pPr>
      <w:r w:rsidRPr="00D551CC">
        <w:rPr>
          <w:rFonts w:eastAsia="Calibri"/>
          <w:sz w:val="28"/>
          <w:szCs w:val="22"/>
          <w:u w:val="single"/>
        </w:rPr>
        <w:t>Overarching Themes</w:t>
      </w:r>
      <w:r w:rsidR="001821B2">
        <w:rPr>
          <w:rFonts w:eastAsia="Calibri"/>
          <w:sz w:val="28"/>
          <w:szCs w:val="22"/>
          <w:u w:val="single"/>
        </w:rPr>
        <w:t xml:space="preserve"> and Impact</w:t>
      </w:r>
    </w:p>
    <w:p w14:paraId="112DBE67" w14:textId="77777777" w:rsidR="00911111" w:rsidRPr="00D551CC" w:rsidRDefault="00911111" w:rsidP="00911111">
      <w:pPr>
        <w:rPr>
          <w:rFonts w:eastAsia="Calibri"/>
        </w:rPr>
      </w:pPr>
    </w:p>
    <w:p w14:paraId="2D82E1AA" w14:textId="4A562736" w:rsidR="00911111" w:rsidRDefault="00911111" w:rsidP="005D60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D50EC">
        <w:rPr>
          <w:rFonts w:ascii="Times New Roman" w:hAnsi="Times New Roman" w:cs="Times New Roman"/>
          <w:b/>
          <w:bCs/>
        </w:rPr>
        <w:t>Quality by Design (</w:t>
      </w:r>
      <w:proofErr w:type="spellStart"/>
      <w:r w:rsidRPr="00AD50EC">
        <w:rPr>
          <w:rFonts w:ascii="Times New Roman" w:hAnsi="Times New Roman" w:cs="Times New Roman"/>
          <w:b/>
          <w:bCs/>
        </w:rPr>
        <w:t>QbD</w:t>
      </w:r>
      <w:proofErr w:type="spellEnd"/>
      <w:r w:rsidRPr="00AD50EC">
        <w:rPr>
          <w:rFonts w:ascii="Times New Roman" w:hAnsi="Times New Roman" w:cs="Times New Roman"/>
          <w:b/>
          <w:bCs/>
        </w:rPr>
        <w:t>)</w:t>
      </w:r>
      <w:r w:rsidR="005D60DF" w:rsidRPr="00AD50EC">
        <w:rPr>
          <w:rFonts w:ascii="Times New Roman" w:hAnsi="Times New Roman" w:cs="Times New Roman"/>
          <w:b/>
          <w:bCs/>
        </w:rPr>
        <w:t>:</w:t>
      </w:r>
      <w:r w:rsidR="005D60DF" w:rsidRPr="00D551CC">
        <w:rPr>
          <w:rFonts w:ascii="Times New Roman" w:hAnsi="Times New Roman" w:cs="Times New Roman"/>
        </w:rPr>
        <w:t xml:space="preserve"> r</w:t>
      </w:r>
      <w:r w:rsidR="005D60DF" w:rsidRPr="00D551CC">
        <w:rPr>
          <w:rFonts w:ascii="Times New Roman" w:hAnsi="Times New Roman" w:cs="Times New Roman"/>
        </w:rPr>
        <w:t>ecogni</w:t>
      </w:r>
      <w:r w:rsidR="005D60DF" w:rsidRPr="00D551CC">
        <w:rPr>
          <w:rFonts w:ascii="Times New Roman" w:hAnsi="Times New Roman" w:cs="Times New Roman"/>
        </w:rPr>
        <w:t xml:space="preserve">zing </w:t>
      </w:r>
      <w:r w:rsidR="005D60DF" w:rsidRPr="00D551CC">
        <w:rPr>
          <w:rFonts w:ascii="Times New Roman" w:hAnsi="Times New Roman" w:cs="Times New Roman"/>
        </w:rPr>
        <w:t>that one size does not fit all</w:t>
      </w:r>
      <w:r w:rsidR="001821B2">
        <w:rPr>
          <w:rFonts w:ascii="Times New Roman" w:hAnsi="Times New Roman" w:cs="Times New Roman"/>
        </w:rPr>
        <w:t xml:space="preserve"> (fit for purpose)</w:t>
      </w:r>
    </w:p>
    <w:p w14:paraId="45246903" w14:textId="4EDECE41" w:rsidR="007806D8" w:rsidRPr="00D551CC" w:rsidRDefault="007806D8" w:rsidP="007806D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7806D8">
        <w:rPr>
          <w:rFonts w:ascii="Times New Roman" w:hAnsi="Times New Roman" w:cs="Times New Roman"/>
        </w:rPr>
        <w:t>systems and processes capturing</w:t>
      </w:r>
      <w:r>
        <w:rPr>
          <w:rFonts w:ascii="Times New Roman" w:hAnsi="Times New Roman" w:cs="Times New Roman"/>
        </w:rPr>
        <w:t>/</w:t>
      </w:r>
      <w:r w:rsidRPr="007806D8">
        <w:rPr>
          <w:rFonts w:ascii="Times New Roman" w:hAnsi="Times New Roman" w:cs="Times New Roman"/>
        </w:rPr>
        <w:t>managing</w:t>
      </w:r>
      <w:r>
        <w:rPr>
          <w:rFonts w:ascii="Times New Roman" w:hAnsi="Times New Roman" w:cs="Times New Roman"/>
        </w:rPr>
        <w:t>/</w:t>
      </w:r>
      <w:r w:rsidRPr="007806D8">
        <w:rPr>
          <w:rFonts w:ascii="Times New Roman" w:hAnsi="Times New Roman" w:cs="Times New Roman"/>
        </w:rPr>
        <w:t xml:space="preserve">analyzing data need to be fit for purpose, capturing data required by the protocol and </w:t>
      </w:r>
      <w:r>
        <w:rPr>
          <w:rFonts w:ascii="Times New Roman" w:hAnsi="Times New Roman" w:cs="Times New Roman"/>
        </w:rPr>
        <w:t xml:space="preserve">addressing </w:t>
      </w:r>
      <w:r w:rsidRPr="007806D8">
        <w:rPr>
          <w:rFonts w:ascii="Times New Roman" w:hAnsi="Times New Roman" w:cs="Times New Roman"/>
        </w:rPr>
        <w:t>key risks to subjects and data</w:t>
      </w:r>
    </w:p>
    <w:p w14:paraId="11180912" w14:textId="079A5078" w:rsidR="00911111" w:rsidRDefault="00911111" w:rsidP="009111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D50EC">
        <w:rPr>
          <w:rFonts w:ascii="Times New Roman" w:hAnsi="Times New Roman" w:cs="Times New Roman"/>
          <w:b/>
          <w:bCs/>
        </w:rPr>
        <w:t>Proportionate</w:t>
      </w:r>
      <w:r w:rsidRPr="00AD50EC">
        <w:rPr>
          <w:rFonts w:ascii="Times New Roman" w:hAnsi="Times New Roman" w:cs="Times New Roman"/>
          <w:b/>
          <w:bCs/>
        </w:rPr>
        <w:t>, risk-based approach</w:t>
      </w:r>
      <w:r w:rsidRPr="00D551CC">
        <w:rPr>
          <w:rFonts w:ascii="Times New Roman" w:hAnsi="Times New Roman" w:cs="Times New Roman"/>
        </w:rPr>
        <w:t xml:space="preserve"> in clinical trial design</w:t>
      </w:r>
      <w:r w:rsidR="002172CD">
        <w:rPr>
          <w:rFonts w:ascii="Times New Roman" w:hAnsi="Times New Roman" w:cs="Times New Roman"/>
        </w:rPr>
        <w:t xml:space="preserve">, </w:t>
      </w:r>
      <w:r w:rsidRPr="00D551CC">
        <w:rPr>
          <w:rFonts w:ascii="Times New Roman" w:hAnsi="Times New Roman" w:cs="Times New Roman"/>
        </w:rPr>
        <w:t>conduct</w:t>
      </w:r>
      <w:r w:rsidR="002172CD">
        <w:rPr>
          <w:rFonts w:ascii="Times New Roman" w:hAnsi="Times New Roman" w:cs="Times New Roman"/>
        </w:rPr>
        <w:t>, and monitoring</w:t>
      </w:r>
    </w:p>
    <w:p w14:paraId="5684E281" w14:textId="5BBA438F" w:rsidR="001821B2" w:rsidRDefault="001821B2" w:rsidP="001821B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21B2">
        <w:rPr>
          <w:rFonts w:ascii="Times New Roman" w:hAnsi="Times New Roman" w:cs="Times New Roman"/>
        </w:rPr>
        <w:t>critical to quality risks should be managed proactively</w:t>
      </w:r>
      <w:r w:rsidRPr="001821B2">
        <w:rPr>
          <w:rFonts w:ascii="Times New Roman" w:hAnsi="Times New Roman" w:cs="Times New Roman"/>
        </w:rPr>
        <w:t xml:space="preserve"> </w:t>
      </w:r>
      <w:r w:rsidR="00157896">
        <w:rPr>
          <w:rFonts w:ascii="Times New Roman" w:hAnsi="Times New Roman" w:cs="Times New Roman"/>
        </w:rPr>
        <w:t>to maintain reliability</w:t>
      </w:r>
    </w:p>
    <w:p w14:paraId="45F52580" w14:textId="0D718195" w:rsidR="001821B2" w:rsidRPr="00D551CC" w:rsidRDefault="001821B2" w:rsidP="001821B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821B2">
        <w:rPr>
          <w:rFonts w:ascii="Times New Roman" w:hAnsi="Times New Roman" w:cs="Times New Roman"/>
        </w:rPr>
        <w:t>trial risks should be compared to standard care</w:t>
      </w:r>
    </w:p>
    <w:p w14:paraId="1A7CF7FE" w14:textId="15F6CE8D" w:rsidR="00911111" w:rsidRPr="00D551CC" w:rsidRDefault="00911111" w:rsidP="009111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</w:rPr>
        <w:t>Incorporates lessons from public health emergencies/pandemics</w:t>
      </w:r>
      <w:r w:rsidR="002172CD">
        <w:rPr>
          <w:rFonts w:ascii="Times New Roman" w:hAnsi="Times New Roman" w:cs="Times New Roman"/>
        </w:rPr>
        <w:t xml:space="preserve"> (e.g., decentralized trials)</w:t>
      </w:r>
    </w:p>
    <w:p w14:paraId="47429A3F" w14:textId="77777777" w:rsidR="00911111" w:rsidRDefault="00911111" w:rsidP="009111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</w:rPr>
        <w:t xml:space="preserve">Encourages </w:t>
      </w:r>
      <w:r w:rsidRPr="00E60110">
        <w:rPr>
          <w:rFonts w:ascii="Times New Roman" w:hAnsi="Times New Roman" w:cs="Times New Roman"/>
          <w:b/>
          <w:bCs/>
        </w:rPr>
        <w:t>exploration of technology and participant inclusivity</w:t>
      </w:r>
    </w:p>
    <w:p w14:paraId="2626AC5B" w14:textId="22735368" w:rsidR="00157896" w:rsidRPr="00157896" w:rsidRDefault="00157896" w:rsidP="0015789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57896">
        <w:rPr>
          <w:rFonts w:ascii="Times New Roman" w:hAnsi="Times New Roman" w:cs="Times New Roman"/>
        </w:rPr>
        <w:t>e.g., the acceptability of remote consent, a definition for data acquisition tool, a reference to home nurses, a reference to remote monitoring and audit</w:t>
      </w:r>
    </w:p>
    <w:p w14:paraId="50E8F40D" w14:textId="494CE62A" w:rsidR="00157896" w:rsidRDefault="00157896" w:rsidP="00157896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157896">
        <w:rPr>
          <w:rFonts w:ascii="Times New Roman" w:hAnsi="Times New Roman" w:cs="Times New Roman"/>
        </w:rPr>
        <w:t xml:space="preserve">requirement for sponsors to clearly describe the rationale for inclusion/exclusion of participants to improve trial </w:t>
      </w:r>
      <w:proofErr w:type="spellStart"/>
      <w:r w:rsidRPr="00157896">
        <w:rPr>
          <w:rFonts w:ascii="Times New Roman" w:hAnsi="Times New Roman" w:cs="Times New Roman"/>
        </w:rPr>
        <w:t>generalisability</w:t>
      </w:r>
      <w:proofErr w:type="spellEnd"/>
      <w:r w:rsidRPr="00157896">
        <w:rPr>
          <w:rFonts w:ascii="Times New Roman" w:hAnsi="Times New Roman" w:cs="Times New Roman"/>
        </w:rPr>
        <w:t>.</w:t>
      </w:r>
    </w:p>
    <w:p w14:paraId="20AD9B90" w14:textId="08FDE74A" w:rsidR="00911111" w:rsidRPr="00D551CC" w:rsidRDefault="00911111" w:rsidP="00D551CC">
      <w:pPr>
        <w:pStyle w:val="Heading1"/>
        <w:rPr>
          <w:sz w:val="28"/>
          <w:szCs w:val="22"/>
          <w:u w:val="single"/>
        </w:rPr>
      </w:pPr>
      <w:r w:rsidRPr="00D551CC">
        <w:rPr>
          <w:sz w:val="28"/>
          <w:szCs w:val="22"/>
          <w:u w:val="single"/>
        </w:rPr>
        <w:t>New Principles</w:t>
      </w:r>
    </w:p>
    <w:p w14:paraId="7A0A3171" w14:textId="77777777" w:rsidR="00D551CC" w:rsidRPr="00D551CC" w:rsidRDefault="00D551CC" w:rsidP="00D551CC"/>
    <w:p w14:paraId="2DEF5492" w14:textId="7E5B47CB" w:rsidR="00047532" w:rsidRPr="00D551CC" w:rsidRDefault="00047532" w:rsidP="00D551C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551CC">
        <w:rPr>
          <w:rFonts w:ascii="Times New Roman" w:eastAsia="Calibri" w:hAnsi="Times New Roman" w:cs="Times New Roman"/>
          <w:b/>
          <w:bCs/>
          <w:iCs/>
        </w:rPr>
        <w:t>Ris</w:t>
      </w:r>
      <w:r w:rsidR="00D551CC" w:rsidRPr="00D551CC">
        <w:rPr>
          <w:rFonts w:ascii="Times New Roman" w:eastAsia="Calibri" w:hAnsi="Times New Roman" w:cs="Times New Roman"/>
          <w:b/>
          <w:bCs/>
          <w:iCs/>
        </w:rPr>
        <w:t>k</w:t>
      </w:r>
      <w:r w:rsidRPr="00D551CC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Pr="00D551CC">
        <w:rPr>
          <w:rFonts w:ascii="Times New Roman" w:eastAsia="Calibri" w:hAnsi="Times New Roman" w:cs="Times New Roman"/>
          <w:b/>
          <w:bCs/>
          <w:iCs/>
        </w:rPr>
        <w:t>P</w:t>
      </w:r>
      <w:r w:rsidRPr="00D551CC">
        <w:rPr>
          <w:rFonts w:ascii="Times New Roman" w:eastAsia="Calibri" w:hAnsi="Times New Roman" w:cs="Times New Roman"/>
          <w:b/>
          <w:bCs/>
          <w:iCs/>
        </w:rPr>
        <w:t>roportionality:</w:t>
      </w:r>
      <w:r w:rsidRPr="00D551CC">
        <w:rPr>
          <w:rFonts w:ascii="Times New Roman" w:eastAsia="Calibri" w:hAnsi="Times New Roman" w:cs="Times New Roman"/>
          <w:iCs/>
        </w:rPr>
        <w:t xml:space="preserve"> Clinical trial processes, measures</w:t>
      </w:r>
      <w:r w:rsidRPr="00D551CC">
        <w:rPr>
          <w:rFonts w:ascii="Times New Roman" w:eastAsia="Calibri" w:hAnsi="Times New Roman" w:cs="Times New Roman"/>
          <w:iCs/>
        </w:rPr>
        <w:t>,</w:t>
      </w:r>
      <w:r w:rsidRPr="00D551CC">
        <w:rPr>
          <w:rFonts w:ascii="Times New Roman" w:eastAsia="Calibri" w:hAnsi="Times New Roman" w:cs="Times New Roman"/>
          <w:iCs/>
        </w:rPr>
        <w:t xml:space="preserve"> and approaches should be implemented proportionally to the risks to participants and to the importance of the data collected and that avoids unnecessary burden on participants and investigator</w:t>
      </w:r>
      <w:r w:rsidR="00EF59C9" w:rsidRPr="00D551CC">
        <w:rPr>
          <w:rFonts w:ascii="Times New Roman" w:eastAsia="Calibri" w:hAnsi="Times New Roman" w:cs="Times New Roman"/>
          <w:iCs/>
        </w:rPr>
        <w:t>.</w:t>
      </w:r>
    </w:p>
    <w:p w14:paraId="2A632E1E" w14:textId="5BD307F6" w:rsidR="00047532" w:rsidRPr="00D551CC" w:rsidRDefault="00047532" w:rsidP="00047532">
      <w:pPr>
        <w:pStyle w:val="ListParagraph"/>
        <w:numPr>
          <w:ilvl w:val="0"/>
          <w:numId w:val="7"/>
        </w:numPr>
        <w:tabs>
          <w:tab w:val="left" w:pos="1980"/>
          <w:tab w:val="left" w:pos="8460"/>
        </w:tabs>
        <w:spacing w:before="240"/>
        <w:rPr>
          <w:rFonts w:ascii="Times New Roman" w:eastAsia="Calibri" w:hAnsi="Times New Roman" w:cs="Times New Roman"/>
          <w:iCs/>
        </w:rPr>
      </w:pPr>
      <w:r w:rsidRPr="00D551CC">
        <w:rPr>
          <w:rFonts w:ascii="Times New Roman" w:eastAsia="Calibri" w:hAnsi="Times New Roman" w:cs="Times New Roman"/>
          <w:b/>
          <w:bCs/>
          <w:iCs/>
        </w:rPr>
        <w:t xml:space="preserve">Roles and </w:t>
      </w:r>
      <w:r w:rsidRPr="00D551CC">
        <w:rPr>
          <w:rFonts w:ascii="Times New Roman" w:eastAsia="Calibri" w:hAnsi="Times New Roman" w:cs="Times New Roman"/>
          <w:b/>
          <w:bCs/>
          <w:iCs/>
        </w:rPr>
        <w:t>R</w:t>
      </w:r>
      <w:r w:rsidRPr="00D551CC">
        <w:rPr>
          <w:rFonts w:ascii="Times New Roman" w:eastAsia="Calibri" w:hAnsi="Times New Roman" w:cs="Times New Roman"/>
          <w:b/>
          <w:bCs/>
          <w:iCs/>
        </w:rPr>
        <w:t>esponsibilities:</w:t>
      </w:r>
      <w:r w:rsidRPr="00D551CC">
        <w:rPr>
          <w:rFonts w:ascii="Times New Roman" w:eastAsia="Calibri" w:hAnsi="Times New Roman" w:cs="Times New Roman"/>
          <w:iCs/>
        </w:rPr>
        <w:t xml:space="preserve"> </w:t>
      </w:r>
      <w:r w:rsidR="001821B2">
        <w:rPr>
          <w:rFonts w:ascii="Times New Roman" w:eastAsia="Calibri" w:hAnsi="Times New Roman" w:cs="Times New Roman"/>
          <w:iCs/>
        </w:rPr>
        <w:t>sponsor/investigator should maintain appropriate oversight</w:t>
      </w:r>
    </w:p>
    <w:p w14:paraId="0497C96B" w14:textId="77777777" w:rsidR="00047532" w:rsidRPr="00D551CC" w:rsidRDefault="00047532" w:rsidP="00047532">
      <w:pPr>
        <w:pStyle w:val="ListParagraph"/>
        <w:numPr>
          <w:ilvl w:val="1"/>
          <w:numId w:val="7"/>
        </w:numPr>
        <w:tabs>
          <w:tab w:val="left" w:pos="1980"/>
          <w:tab w:val="left" w:pos="8460"/>
        </w:tabs>
        <w:spacing w:before="240"/>
        <w:rPr>
          <w:rFonts w:ascii="Times New Roman" w:eastAsia="Calibri" w:hAnsi="Times New Roman" w:cs="Times New Roman"/>
          <w:iCs/>
        </w:rPr>
      </w:pPr>
      <w:r w:rsidRPr="00D551CC">
        <w:rPr>
          <w:rFonts w:ascii="Times New Roman" w:eastAsia="Calibri" w:hAnsi="Times New Roman" w:cs="Times New Roman"/>
          <w:iCs/>
        </w:rPr>
        <w:t>sponsor may transfer or the investigator may delegate their tasks, duties or functions, but they retain overall responsibility for their respective activities</w:t>
      </w:r>
    </w:p>
    <w:p w14:paraId="7EF41547" w14:textId="6A865F35" w:rsidR="00047532" w:rsidRPr="00D551CC" w:rsidRDefault="00047532" w:rsidP="00047532">
      <w:pPr>
        <w:pStyle w:val="ListParagraph"/>
        <w:numPr>
          <w:ilvl w:val="1"/>
          <w:numId w:val="7"/>
        </w:numPr>
        <w:tabs>
          <w:tab w:val="left" w:pos="1980"/>
          <w:tab w:val="left" w:pos="8460"/>
        </w:tabs>
        <w:spacing w:before="240"/>
        <w:rPr>
          <w:rFonts w:ascii="Times New Roman" w:eastAsia="Calibri" w:hAnsi="Times New Roman" w:cs="Times New Roman"/>
          <w:iCs/>
        </w:rPr>
      </w:pPr>
      <w:r w:rsidRPr="00D551CC">
        <w:rPr>
          <w:rFonts w:ascii="Times New Roman" w:eastAsia="Calibri" w:hAnsi="Times New Roman" w:cs="Times New Roman"/>
          <w:iCs/>
        </w:rPr>
        <w:t>a</w:t>
      </w:r>
      <w:r w:rsidRPr="00D551CC">
        <w:rPr>
          <w:rFonts w:ascii="Times New Roman" w:eastAsia="Calibri" w:hAnsi="Times New Roman" w:cs="Times New Roman"/>
          <w:iCs/>
        </w:rPr>
        <w:t>greements should clearly define the roles, activities</w:t>
      </w:r>
      <w:r w:rsidR="002172CD">
        <w:rPr>
          <w:rFonts w:ascii="Times New Roman" w:eastAsia="Calibri" w:hAnsi="Times New Roman" w:cs="Times New Roman"/>
          <w:iCs/>
        </w:rPr>
        <w:t>,</w:t>
      </w:r>
      <w:r w:rsidRPr="00D551CC">
        <w:rPr>
          <w:rFonts w:ascii="Times New Roman" w:eastAsia="Calibri" w:hAnsi="Times New Roman" w:cs="Times New Roman"/>
          <w:iCs/>
        </w:rPr>
        <w:t xml:space="preserve"> and responsibilities for the clinical trial and be documented appropriately</w:t>
      </w:r>
    </w:p>
    <w:p w14:paraId="1269D8B1" w14:textId="2D649996" w:rsidR="00047532" w:rsidRPr="00D551CC" w:rsidRDefault="00047532" w:rsidP="00047532">
      <w:pPr>
        <w:pStyle w:val="Heading1"/>
        <w:rPr>
          <w:sz w:val="28"/>
          <w:szCs w:val="22"/>
          <w:u w:val="single"/>
        </w:rPr>
      </w:pPr>
      <w:r w:rsidRPr="00D551CC">
        <w:rPr>
          <w:sz w:val="28"/>
          <w:szCs w:val="22"/>
          <w:u w:val="single"/>
        </w:rPr>
        <w:t>Revised</w:t>
      </w:r>
      <w:r w:rsidRPr="00D551CC">
        <w:rPr>
          <w:sz w:val="28"/>
          <w:szCs w:val="22"/>
          <w:u w:val="single"/>
        </w:rPr>
        <w:t xml:space="preserve"> Principles</w:t>
      </w:r>
      <w:r w:rsidR="00E60110">
        <w:rPr>
          <w:sz w:val="28"/>
          <w:szCs w:val="22"/>
          <w:u w:val="single"/>
        </w:rPr>
        <w:t xml:space="preserve"> (significant changes)</w:t>
      </w:r>
    </w:p>
    <w:p w14:paraId="0600122C" w14:textId="77777777" w:rsidR="00047532" w:rsidRPr="00D551CC" w:rsidRDefault="00047532" w:rsidP="00047532"/>
    <w:p w14:paraId="60A67283" w14:textId="4B35D211" w:rsidR="00047532" w:rsidRPr="00D551CC" w:rsidRDefault="00047532" w:rsidP="000475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Ethical principles:</w:t>
      </w:r>
      <w:r w:rsidR="005D60DF" w:rsidRPr="00D551CC">
        <w:rPr>
          <w:rFonts w:ascii="Times New Roman" w:hAnsi="Times New Roman" w:cs="Times New Roman"/>
        </w:rPr>
        <w:t xml:space="preserve"> should not</w:t>
      </w:r>
      <w:r w:rsidRPr="00D551CC">
        <w:rPr>
          <w:rFonts w:ascii="Times New Roman" w:hAnsi="Times New Roman" w:cs="Times New Roman"/>
        </w:rPr>
        <w:t xml:space="preserve"> unnecessarily exclude </w:t>
      </w:r>
      <w:proofErr w:type="gramStart"/>
      <w:r w:rsidRPr="00D551CC">
        <w:rPr>
          <w:rFonts w:ascii="Times New Roman" w:hAnsi="Times New Roman" w:cs="Times New Roman"/>
        </w:rPr>
        <w:t>particular participant</w:t>
      </w:r>
      <w:proofErr w:type="gramEnd"/>
      <w:r w:rsidRPr="00D551CC">
        <w:rPr>
          <w:rFonts w:ascii="Times New Roman" w:hAnsi="Times New Roman" w:cs="Times New Roman"/>
        </w:rPr>
        <w:t xml:space="preserve"> populations</w:t>
      </w:r>
    </w:p>
    <w:p w14:paraId="5E642E65" w14:textId="16B6CA70" w:rsidR="00047532" w:rsidRPr="00D551CC" w:rsidRDefault="00047532" w:rsidP="0004753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Science:</w:t>
      </w:r>
      <w:r w:rsidRPr="00D551CC">
        <w:rPr>
          <w:rFonts w:ascii="Times New Roman" w:hAnsi="Times New Roman" w:cs="Times New Roman"/>
        </w:rPr>
        <w:t xml:space="preserve"> </w:t>
      </w:r>
      <w:r w:rsidR="005D60DF" w:rsidRPr="00D551CC">
        <w:rPr>
          <w:rFonts w:ascii="Times New Roman" w:hAnsi="Times New Roman" w:cs="Times New Roman"/>
        </w:rPr>
        <w:t>p</w:t>
      </w:r>
      <w:r w:rsidRPr="00D551CC">
        <w:rPr>
          <w:rFonts w:ascii="Times New Roman" w:hAnsi="Times New Roman" w:cs="Times New Roman"/>
        </w:rPr>
        <w:t xml:space="preserve">eriodic </w:t>
      </w:r>
      <w:r w:rsidR="005D60DF" w:rsidRPr="00D551CC">
        <w:rPr>
          <w:rFonts w:ascii="Times New Roman" w:hAnsi="Times New Roman" w:cs="Times New Roman"/>
        </w:rPr>
        <w:t xml:space="preserve">scientific </w:t>
      </w:r>
      <w:r w:rsidRPr="00D551CC">
        <w:rPr>
          <w:rFonts w:ascii="Times New Roman" w:hAnsi="Times New Roman" w:cs="Times New Roman"/>
        </w:rPr>
        <w:t xml:space="preserve">review </w:t>
      </w:r>
      <w:r w:rsidR="005D60DF" w:rsidRPr="00D551CC">
        <w:rPr>
          <w:rFonts w:ascii="Times New Roman" w:hAnsi="Times New Roman" w:cs="Times New Roman"/>
        </w:rPr>
        <w:t xml:space="preserve">to </w:t>
      </w:r>
      <w:r w:rsidRPr="00D551CC">
        <w:rPr>
          <w:rFonts w:ascii="Times New Roman" w:hAnsi="Times New Roman" w:cs="Times New Roman"/>
        </w:rPr>
        <w:t>determine whether modifications to trial are needed.</w:t>
      </w:r>
    </w:p>
    <w:p w14:paraId="71793A95" w14:textId="34CDB54C" w:rsidR="00047532" w:rsidRPr="00D551CC" w:rsidRDefault="00047532" w:rsidP="00EF59C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Reliable Results:</w:t>
      </w:r>
      <w:r w:rsidRPr="00D551CC">
        <w:rPr>
          <w:rFonts w:ascii="Times New Roman" w:hAnsi="Times New Roman" w:cs="Times New Roman"/>
        </w:rPr>
        <w:t xml:space="preserve"> </w:t>
      </w:r>
      <w:r w:rsidR="00EF59C9" w:rsidRPr="00D551CC">
        <w:rPr>
          <w:rFonts w:ascii="Times New Roman" w:hAnsi="Times New Roman" w:cs="Times New Roman"/>
        </w:rPr>
        <w:t>t</w:t>
      </w:r>
      <w:r w:rsidRPr="00D551CC">
        <w:rPr>
          <w:rFonts w:ascii="Times New Roman" w:hAnsi="Times New Roman" w:cs="Times New Roman"/>
        </w:rPr>
        <w:t>rial processes should support the key trial objectives</w:t>
      </w:r>
      <w:r w:rsidR="00EF59C9" w:rsidRPr="00D551CC">
        <w:rPr>
          <w:rFonts w:ascii="Times New Roman" w:hAnsi="Times New Roman" w:cs="Times New Roman"/>
        </w:rPr>
        <w:t>, efficient and well-controlled processes data integrity, clinical trial registration and results reporting.</w:t>
      </w:r>
    </w:p>
    <w:p w14:paraId="31EA32C2" w14:textId="45F92C4F" w:rsidR="00047532" w:rsidRPr="00D551CC" w:rsidRDefault="00047532" w:rsidP="00EF59C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76F64">
        <w:rPr>
          <w:rFonts w:ascii="Times New Roman" w:hAnsi="Times New Roman" w:cs="Times New Roman"/>
          <w:b/>
          <w:bCs/>
        </w:rPr>
        <w:t>Investigational Produc</w:t>
      </w:r>
      <w:r w:rsidRPr="00D551CC">
        <w:rPr>
          <w:rFonts w:ascii="Times New Roman" w:hAnsi="Times New Roman" w:cs="Times New Roman"/>
          <w:b/>
          <w:bCs/>
        </w:rPr>
        <w:t>t</w:t>
      </w:r>
      <w:r w:rsidRPr="00D551CC">
        <w:rPr>
          <w:rFonts w:ascii="Times New Roman" w:hAnsi="Times New Roman" w:cs="Times New Roman"/>
          <w:b/>
          <w:bCs/>
        </w:rPr>
        <w:t>s</w:t>
      </w:r>
      <w:r w:rsidR="00EF59C9" w:rsidRPr="00D551CC">
        <w:rPr>
          <w:rFonts w:ascii="Times New Roman" w:hAnsi="Times New Roman" w:cs="Times New Roman"/>
          <w:b/>
          <w:bCs/>
        </w:rPr>
        <w:t xml:space="preserve">: </w:t>
      </w:r>
      <w:r w:rsidR="00EF59C9" w:rsidRPr="00D551CC">
        <w:rPr>
          <w:rFonts w:ascii="Times New Roman" w:hAnsi="Times New Roman" w:cs="Times New Roman"/>
        </w:rPr>
        <w:t>maintain binding where applicable;</w:t>
      </w:r>
      <w:r w:rsidRPr="00D551CC">
        <w:rPr>
          <w:rFonts w:ascii="Times New Roman" w:hAnsi="Times New Roman" w:cs="Times New Roman"/>
        </w:rPr>
        <w:t xml:space="preserve"> investigational </w:t>
      </w:r>
      <w:r w:rsidR="00E60110">
        <w:rPr>
          <w:rFonts w:ascii="Times New Roman" w:hAnsi="Times New Roman" w:cs="Times New Roman"/>
        </w:rPr>
        <w:t>products provided to the trial participant should retain their</w:t>
      </w:r>
      <w:r w:rsidRPr="00D551CC">
        <w:rPr>
          <w:rFonts w:ascii="Times New Roman" w:hAnsi="Times New Roman" w:cs="Times New Roman"/>
        </w:rPr>
        <w:t xml:space="preserve"> quality</w:t>
      </w:r>
      <w:r w:rsidR="00EF59C9" w:rsidRPr="00D551CC">
        <w:rPr>
          <w:rFonts w:ascii="Times New Roman" w:hAnsi="Times New Roman" w:cs="Times New Roman"/>
        </w:rPr>
        <w:t>.</w:t>
      </w:r>
    </w:p>
    <w:p w14:paraId="5799F4A6" w14:textId="260BA4FF" w:rsidR="00EF59C9" w:rsidRPr="00D551CC" w:rsidRDefault="00EF59C9" w:rsidP="00EF59C9">
      <w:pPr>
        <w:pStyle w:val="Heading1"/>
        <w:rPr>
          <w:rFonts w:eastAsiaTheme="minorHAnsi"/>
          <w:sz w:val="28"/>
          <w:szCs w:val="22"/>
          <w:u w:val="single"/>
        </w:rPr>
      </w:pPr>
      <w:r w:rsidRPr="00D551CC">
        <w:rPr>
          <w:rFonts w:eastAsiaTheme="minorHAnsi"/>
          <w:sz w:val="28"/>
          <w:szCs w:val="22"/>
          <w:u w:val="single"/>
        </w:rPr>
        <w:lastRenderedPageBreak/>
        <w:t>Institutional Review Board (Annex I)</w:t>
      </w:r>
    </w:p>
    <w:p w14:paraId="2473EA61" w14:textId="3E09FFFB" w:rsidR="00DA4995" w:rsidRPr="00FF1077" w:rsidRDefault="00DA4995" w:rsidP="00FF1077"/>
    <w:p w14:paraId="47AB64CC" w14:textId="0741EC1F" w:rsidR="00DA4995" w:rsidRPr="00D551CC" w:rsidRDefault="00DA4995" w:rsidP="00DA4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</w:rPr>
        <w:t xml:space="preserve">Updated to reflect </w:t>
      </w:r>
      <w:r w:rsidRPr="00D551CC">
        <w:rPr>
          <w:rFonts w:ascii="Times New Roman" w:hAnsi="Times New Roman" w:cs="Times New Roman"/>
        </w:rPr>
        <w:t>digitization</w:t>
      </w:r>
      <w:r w:rsidRPr="00D551CC">
        <w:rPr>
          <w:rFonts w:ascii="Times New Roman" w:hAnsi="Times New Roman" w:cs="Times New Roman"/>
        </w:rPr>
        <w:t xml:space="preserve"> and variable approaches to obtaining</w:t>
      </w:r>
      <w:r w:rsidRPr="00D551CC">
        <w:rPr>
          <w:rFonts w:ascii="Times New Roman" w:hAnsi="Times New Roman" w:cs="Times New Roman"/>
        </w:rPr>
        <w:t xml:space="preserve"> </w:t>
      </w:r>
      <w:r w:rsidRPr="00D551CC">
        <w:rPr>
          <w:rFonts w:ascii="Times New Roman" w:hAnsi="Times New Roman" w:cs="Times New Roman"/>
        </w:rPr>
        <w:t>consent</w:t>
      </w:r>
    </w:p>
    <w:p w14:paraId="5943DC29" w14:textId="5232F7B5" w:rsidR="00DA4995" w:rsidRPr="00D551CC" w:rsidRDefault="00DA4995" w:rsidP="00DA4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</w:rPr>
        <w:t xml:space="preserve">Clarified the potential for participants to be compensated for </w:t>
      </w:r>
      <w:r w:rsidRPr="00D551CC">
        <w:rPr>
          <w:rFonts w:ascii="Times New Roman" w:hAnsi="Times New Roman" w:cs="Times New Roman"/>
        </w:rPr>
        <w:t>participation costs</w:t>
      </w:r>
    </w:p>
    <w:p w14:paraId="2D341759" w14:textId="070C15F1" w:rsidR="00DA4995" w:rsidRPr="00D551CC" w:rsidRDefault="00DA4995" w:rsidP="00DA4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</w:rPr>
        <w:t>Clarified that the IRB/IEC should review the assent information, considering</w:t>
      </w:r>
      <w:r w:rsidRPr="00D551CC">
        <w:rPr>
          <w:rFonts w:ascii="Times New Roman" w:hAnsi="Times New Roman" w:cs="Times New Roman"/>
        </w:rPr>
        <w:t xml:space="preserve"> </w:t>
      </w:r>
      <w:r w:rsidRPr="00D551CC">
        <w:rPr>
          <w:rFonts w:ascii="Times New Roman" w:hAnsi="Times New Roman" w:cs="Times New Roman"/>
        </w:rPr>
        <w:t>the age, maturity</w:t>
      </w:r>
      <w:r w:rsidR="00E60110">
        <w:rPr>
          <w:rFonts w:ascii="Times New Roman" w:hAnsi="Times New Roman" w:cs="Times New Roman"/>
        </w:rPr>
        <w:t>,</w:t>
      </w:r>
      <w:r w:rsidRPr="00D551CC">
        <w:rPr>
          <w:rFonts w:ascii="Times New Roman" w:hAnsi="Times New Roman" w:cs="Times New Roman"/>
        </w:rPr>
        <w:t xml:space="preserve"> and psychological state of the minor, as well as applicable</w:t>
      </w:r>
      <w:r w:rsidRPr="00D551CC">
        <w:rPr>
          <w:rFonts w:ascii="Times New Roman" w:hAnsi="Times New Roman" w:cs="Times New Roman"/>
        </w:rPr>
        <w:t xml:space="preserve"> </w:t>
      </w:r>
      <w:r w:rsidRPr="00D551CC">
        <w:rPr>
          <w:rFonts w:ascii="Times New Roman" w:hAnsi="Times New Roman" w:cs="Times New Roman"/>
        </w:rPr>
        <w:t>regulatory requirements</w:t>
      </w:r>
    </w:p>
    <w:p w14:paraId="22B40224" w14:textId="6EC2E91B" w:rsidR="00D551CC" w:rsidRPr="00D551CC" w:rsidRDefault="00DA4995" w:rsidP="00D551CC">
      <w:pPr>
        <w:pStyle w:val="Heading1"/>
        <w:rPr>
          <w:sz w:val="28"/>
          <w:szCs w:val="22"/>
          <w:u w:val="single"/>
        </w:rPr>
      </w:pPr>
      <w:r w:rsidRPr="00D551CC">
        <w:rPr>
          <w:sz w:val="28"/>
          <w:szCs w:val="22"/>
          <w:u w:val="single"/>
        </w:rPr>
        <w:t>Investigator (Annex I)</w:t>
      </w:r>
    </w:p>
    <w:p w14:paraId="2AB471B8" w14:textId="77777777" w:rsidR="00D551CC" w:rsidRPr="00D551CC" w:rsidRDefault="00D551CC" w:rsidP="00D551CC"/>
    <w:p w14:paraId="787E2B57" w14:textId="4691FA0A" w:rsidR="00DA4995" w:rsidRPr="00D551CC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Informed Consent:</w:t>
      </w:r>
      <w:r w:rsidRPr="00D551CC">
        <w:rPr>
          <w:rFonts w:ascii="Times New Roman" w:hAnsi="Times New Roman" w:cs="Times New Roman"/>
        </w:rPr>
        <w:t xml:space="preserve"> </w:t>
      </w:r>
      <w:r w:rsidR="00A46738">
        <w:rPr>
          <w:rFonts w:ascii="Times New Roman" w:hAnsi="Times New Roman" w:cs="Times New Roman"/>
        </w:rPr>
        <w:t>flexibility in</w:t>
      </w:r>
      <w:r w:rsidRPr="00D551CC">
        <w:rPr>
          <w:rFonts w:ascii="Times New Roman" w:hAnsi="Times New Roman" w:cs="Times New Roman"/>
        </w:rPr>
        <w:t xml:space="preserve"> approach to </w:t>
      </w:r>
      <w:r w:rsidRPr="00D551CC">
        <w:rPr>
          <w:rFonts w:ascii="Times New Roman" w:hAnsi="Times New Roman" w:cs="Times New Roman"/>
        </w:rPr>
        <w:t xml:space="preserve">the </w:t>
      </w:r>
      <w:r w:rsidRPr="00D551CC">
        <w:rPr>
          <w:rFonts w:ascii="Times New Roman" w:hAnsi="Times New Roman" w:cs="Times New Roman"/>
        </w:rPr>
        <w:t xml:space="preserve">provision of consent information (images, videos, interactive </w:t>
      </w:r>
      <w:r w:rsidRPr="00D551CC">
        <w:rPr>
          <w:rFonts w:ascii="Times New Roman" w:hAnsi="Times New Roman" w:cs="Times New Roman"/>
        </w:rPr>
        <w:t>methods</w:t>
      </w:r>
      <w:r w:rsidR="00157896">
        <w:rPr>
          <w:rFonts w:ascii="Times New Roman" w:hAnsi="Times New Roman" w:cs="Times New Roman"/>
        </w:rPr>
        <w:t>, remote</w:t>
      </w:r>
      <w:r w:rsidRPr="00D551CC">
        <w:rPr>
          <w:rFonts w:ascii="Times New Roman" w:hAnsi="Times New Roman" w:cs="Times New Roman"/>
        </w:rPr>
        <w:t>); c</w:t>
      </w:r>
      <w:r w:rsidRPr="00D551CC">
        <w:rPr>
          <w:rFonts w:ascii="Times New Roman" w:hAnsi="Times New Roman" w:cs="Times New Roman"/>
        </w:rPr>
        <w:t>lear and concise, simple language</w:t>
      </w:r>
      <w:r w:rsidRPr="00D551CC">
        <w:rPr>
          <w:rFonts w:ascii="Times New Roman" w:hAnsi="Times New Roman" w:cs="Times New Roman"/>
        </w:rPr>
        <w:t>; documentation</w:t>
      </w:r>
    </w:p>
    <w:p w14:paraId="6554D861" w14:textId="23C03A0C" w:rsidR="00DA4995" w:rsidRPr="00D551CC" w:rsidRDefault="00DA4995" w:rsidP="00DA499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New information:</w:t>
      </w:r>
      <w:r w:rsidRPr="00D551CC">
        <w:rPr>
          <w:rFonts w:ascii="Times New Roman" w:hAnsi="Times New Roman" w:cs="Times New Roman"/>
        </w:rPr>
        <w:t xml:space="preserve"> considerations for re-consent (stage of trial, relevanc</w:t>
      </w:r>
      <w:r w:rsidRPr="00D551CC">
        <w:rPr>
          <w:rFonts w:ascii="Times New Roman" w:hAnsi="Times New Roman" w:cs="Times New Roman"/>
        </w:rPr>
        <w:t>y)</w:t>
      </w:r>
    </w:p>
    <w:p w14:paraId="2724F258" w14:textId="59635450" w:rsidR="00DA4995" w:rsidRPr="00D551CC" w:rsidRDefault="00DA4995" w:rsidP="00DA499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Minors:</w:t>
      </w:r>
      <w:r w:rsidRPr="00D551CC">
        <w:rPr>
          <w:rFonts w:ascii="Times New Roman" w:hAnsi="Times New Roman" w:cs="Times New Roman"/>
        </w:rPr>
        <w:t xml:space="preserve"> age-appropriate assent information, reaching age of legal consent</w:t>
      </w:r>
      <w:r w:rsidRPr="00D551CC">
        <w:rPr>
          <w:rFonts w:ascii="Times New Roman" w:hAnsi="Times New Roman" w:cs="Times New Roman"/>
        </w:rPr>
        <w:t xml:space="preserve"> process</w:t>
      </w:r>
    </w:p>
    <w:p w14:paraId="2A4191DF" w14:textId="420E7D3B" w:rsidR="00DA4995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Qualifications/Training:</w:t>
      </w:r>
      <w:r w:rsidRPr="00D551CC">
        <w:rPr>
          <w:rFonts w:ascii="Times New Roman" w:hAnsi="Times New Roman" w:cs="Times New Roman"/>
        </w:rPr>
        <w:t xml:space="preserve"> f</w:t>
      </w:r>
      <w:r w:rsidRPr="00D551CC">
        <w:rPr>
          <w:rFonts w:ascii="Times New Roman" w:hAnsi="Times New Roman" w:cs="Times New Roman"/>
        </w:rPr>
        <w:t>lexibility in evidence of qualification</w:t>
      </w:r>
      <w:r w:rsidR="00E60110">
        <w:rPr>
          <w:rFonts w:ascii="Times New Roman" w:hAnsi="Times New Roman" w:cs="Times New Roman"/>
        </w:rPr>
        <w:t xml:space="preserve"> (not just CV)</w:t>
      </w:r>
    </w:p>
    <w:p w14:paraId="791567DD" w14:textId="1D4FDD94" w:rsidR="00E60110" w:rsidRPr="00D551CC" w:rsidRDefault="00E60110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Communication:</w:t>
      </w:r>
      <w:r>
        <w:rPr>
          <w:rFonts w:ascii="Times New Roman" w:hAnsi="Times New Roman" w:cs="Times New Roman"/>
        </w:rPr>
        <w:t xml:space="preserve"> </w:t>
      </w:r>
      <w:r w:rsidRPr="00E60110">
        <w:rPr>
          <w:rFonts w:ascii="Times New Roman" w:hAnsi="Times New Roman" w:cs="Times New Roman"/>
        </w:rPr>
        <w:t xml:space="preserve">submission to the IRB/IEC can </w:t>
      </w:r>
      <w:r>
        <w:rPr>
          <w:rFonts w:ascii="Times New Roman" w:hAnsi="Times New Roman" w:cs="Times New Roman"/>
        </w:rPr>
        <w:t xml:space="preserve">also </w:t>
      </w:r>
      <w:r w:rsidRPr="00E60110">
        <w:rPr>
          <w:rFonts w:ascii="Times New Roman" w:hAnsi="Times New Roman" w:cs="Times New Roman"/>
        </w:rPr>
        <w:t xml:space="preserve">be made by </w:t>
      </w:r>
      <w:r w:rsidRPr="00E60110">
        <w:rPr>
          <w:rFonts w:ascii="Times New Roman" w:hAnsi="Times New Roman" w:cs="Times New Roman"/>
          <w:i/>
          <w:iCs/>
        </w:rPr>
        <w:t>the sponsor</w:t>
      </w:r>
    </w:p>
    <w:p w14:paraId="3085D0A9" w14:textId="120F865F" w:rsidR="00DA4995" w:rsidRPr="00D551CC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57896">
        <w:rPr>
          <w:rFonts w:ascii="Times New Roman" w:hAnsi="Times New Roman" w:cs="Times New Roman"/>
          <w:b/>
          <w:bCs/>
        </w:rPr>
        <w:t xml:space="preserve">Training requirements for </w:t>
      </w:r>
      <w:r w:rsidR="00157896" w:rsidRPr="00157896">
        <w:rPr>
          <w:rFonts w:ascii="Times New Roman" w:hAnsi="Times New Roman" w:cs="Times New Roman"/>
          <w:b/>
          <w:bCs/>
        </w:rPr>
        <w:t>S</w:t>
      </w:r>
      <w:r w:rsidRPr="00157896">
        <w:rPr>
          <w:rFonts w:ascii="Times New Roman" w:hAnsi="Times New Roman" w:cs="Times New Roman"/>
          <w:b/>
          <w:bCs/>
        </w:rPr>
        <w:t xml:space="preserve">taff: </w:t>
      </w:r>
      <w:r w:rsidRPr="00D551CC">
        <w:rPr>
          <w:rFonts w:ascii="Times New Roman" w:hAnsi="Times New Roman" w:cs="Times New Roman"/>
        </w:rPr>
        <w:t>necessary to fulfill delegated activities</w:t>
      </w:r>
    </w:p>
    <w:p w14:paraId="18A2A329" w14:textId="1CDDC416" w:rsidR="00DA4995" w:rsidRPr="00D551CC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Medical</w:t>
      </w:r>
      <w:r w:rsidRPr="00D551CC">
        <w:rPr>
          <w:rFonts w:ascii="Times New Roman" w:hAnsi="Times New Roman" w:cs="Times New Roman"/>
          <w:b/>
          <w:bCs/>
        </w:rPr>
        <w:t xml:space="preserve"> Care:</w:t>
      </w:r>
      <w:r w:rsidRPr="00D551CC">
        <w:rPr>
          <w:rFonts w:ascii="Times New Roman" w:hAnsi="Times New Roman" w:cs="Times New Roman"/>
        </w:rPr>
        <w:t xml:space="preserve"> other qualified</w:t>
      </w:r>
      <w:r w:rsidRPr="00D551CC">
        <w:rPr>
          <w:rFonts w:ascii="Times New Roman" w:hAnsi="Times New Roman" w:cs="Times New Roman"/>
        </w:rPr>
        <w:t xml:space="preserve"> health</w:t>
      </w:r>
      <w:r w:rsidRPr="00D551CC">
        <w:rPr>
          <w:rFonts w:ascii="Times New Roman" w:hAnsi="Times New Roman" w:cs="Times New Roman"/>
        </w:rPr>
        <w:t xml:space="preserve"> professionals may be involved in the trial</w:t>
      </w:r>
    </w:p>
    <w:p w14:paraId="325A257A" w14:textId="038E6382" w:rsidR="00DA4995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551CC">
        <w:rPr>
          <w:rFonts w:ascii="Times New Roman" w:hAnsi="Times New Roman" w:cs="Times New Roman"/>
          <w:b/>
          <w:bCs/>
        </w:rPr>
        <w:t>Safety Reporting:</w:t>
      </w:r>
      <w:r w:rsidRPr="00D551CC">
        <w:rPr>
          <w:rFonts w:ascii="Times New Roman" w:hAnsi="Times New Roman" w:cs="Times New Roman"/>
        </w:rPr>
        <w:t xml:space="preserve"> reporting requirements of events prior to IP administration (screening)</w:t>
      </w:r>
    </w:p>
    <w:p w14:paraId="5135529B" w14:textId="5B77BA0E" w:rsidR="00157896" w:rsidRPr="00D551CC" w:rsidRDefault="00157896" w:rsidP="00157896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157896">
        <w:rPr>
          <w:rFonts w:ascii="Times New Roman" w:hAnsi="Times New Roman" w:cs="Times New Roman"/>
        </w:rPr>
        <w:t>Removal of the strict requirement for all suspected unexpected serious adverse events (SUSARs) to be individually expedited to investigators and IRBs/IECs.</w:t>
      </w:r>
    </w:p>
    <w:p w14:paraId="475C7B08" w14:textId="7735E35B" w:rsidR="00DA4995" w:rsidRPr="0087503B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>Responsibilities:</w:t>
      </w:r>
      <w:r w:rsidRPr="0087503B">
        <w:rPr>
          <w:rFonts w:ascii="Times New Roman" w:hAnsi="Times New Roman" w:cs="Times New Roman"/>
        </w:rPr>
        <w:t xml:space="preserve"> service provider expectations, ultimate responsibility for all delegated activities, oversight for delegated activities proportionate, delegation documentation </w:t>
      </w:r>
    </w:p>
    <w:p w14:paraId="41E8C736" w14:textId="7ED20ED2" w:rsidR="00DA4995" w:rsidRPr="0087503B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 w:rsidRPr="0087503B">
        <w:rPr>
          <w:rFonts w:ascii="Times New Roman" w:hAnsi="Times New Roman" w:cs="Times New Roman"/>
          <w:b/>
          <w:bCs/>
        </w:rPr>
        <w:t xml:space="preserve">Computerized </w:t>
      </w:r>
      <w:r w:rsidR="003E4626" w:rsidRPr="0087503B">
        <w:rPr>
          <w:rFonts w:ascii="Times New Roman" w:hAnsi="Times New Roman" w:cs="Times New Roman"/>
          <w:b/>
          <w:bCs/>
        </w:rPr>
        <w:t>S</w:t>
      </w:r>
      <w:r w:rsidRPr="0087503B">
        <w:rPr>
          <w:rFonts w:ascii="Times New Roman" w:hAnsi="Times New Roman" w:cs="Times New Roman"/>
          <w:b/>
          <w:bCs/>
        </w:rPr>
        <w:t>ystems</w:t>
      </w:r>
      <w:r w:rsidR="003E4626" w:rsidRPr="0087503B">
        <w:rPr>
          <w:rFonts w:ascii="Times New Roman" w:hAnsi="Times New Roman" w:cs="Times New Roman"/>
          <w:b/>
          <w:bCs/>
        </w:rPr>
        <w:t xml:space="preserve">: </w:t>
      </w:r>
      <w:r w:rsidR="003E4626" w:rsidRPr="0087503B">
        <w:rPr>
          <w:rFonts w:ascii="Times New Roman" w:hAnsi="Times New Roman" w:cs="Times New Roman"/>
        </w:rPr>
        <w:t>clarified responsibilities</w:t>
      </w:r>
    </w:p>
    <w:p w14:paraId="1A2F2C46" w14:textId="4784C242" w:rsidR="00DA4995" w:rsidRPr="0087503B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 xml:space="preserve">Data and </w:t>
      </w:r>
      <w:r w:rsidR="003E4626" w:rsidRPr="0087503B">
        <w:rPr>
          <w:rFonts w:ascii="Times New Roman" w:hAnsi="Times New Roman" w:cs="Times New Roman"/>
          <w:b/>
          <w:bCs/>
        </w:rPr>
        <w:t>R</w:t>
      </w:r>
      <w:r w:rsidRPr="0087503B">
        <w:rPr>
          <w:rFonts w:ascii="Times New Roman" w:hAnsi="Times New Roman" w:cs="Times New Roman"/>
          <w:b/>
          <w:bCs/>
        </w:rPr>
        <w:t xml:space="preserve">esource </w:t>
      </w:r>
      <w:r w:rsidR="003E4626" w:rsidRPr="0087503B">
        <w:rPr>
          <w:rFonts w:ascii="Times New Roman" w:hAnsi="Times New Roman" w:cs="Times New Roman"/>
          <w:b/>
          <w:bCs/>
        </w:rPr>
        <w:t>R</w:t>
      </w:r>
      <w:r w:rsidRPr="0087503B">
        <w:rPr>
          <w:rFonts w:ascii="Times New Roman" w:hAnsi="Times New Roman" w:cs="Times New Roman"/>
          <w:b/>
          <w:bCs/>
        </w:rPr>
        <w:t>ecords</w:t>
      </w:r>
      <w:r w:rsidRPr="0087503B">
        <w:rPr>
          <w:rFonts w:ascii="Times New Roman" w:hAnsi="Times New Roman" w:cs="Times New Roman"/>
        </w:rPr>
        <w:t>:</w:t>
      </w:r>
      <w:r w:rsidR="003E4626" w:rsidRPr="0087503B">
        <w:rPr>
          <w:rFonts w:ascii="Times New Roman" w:hAnsi="Times New Roman" w:cs="Times New Roman"/>
        </w:rPr>
        <w:t xml:space="preserve"> </w:t>
      </w:r>
      <w:r w:rsidRPr="0087503B">
        <w:rPr>
          <w:rFonts w:ascii="Times New Roman" w:hAnsi="Times New Roman" w:cs="Times New Roman"/>
        </w:rPr>
        <w:t xml:space="preserve">identification </w:t>
      </w:r>
      <w:r w:rsidR="003E4626" w:rsidRPr="0087503B">
        <w:rPr>
          <w:rFonts w:ascii="Times New Roman" w:hAnsi="Times New Roman" w:cs="Times New Roman"/>
        </w:rPr>
        <w:t>and</w:t>
      </w:r>
      <w:r w:rsidRPr="0087503B">
        <w:rPr>
          <w:rFonts w:ascii="Times New Roman" w:hAnsi="Times New Roman" w:cs="Times New Roman"/>
        </w:rPr>
        <w:t xml:space="preserve"> maintenance</w:t>
      </w:r>
      <w:r w:rsidR="003E4626" w:rsidRPr="0087503B">
        <w:rPr>
          <w:rFonts w:ascii="Times New Roman" w:hAnsi="Times New Roman" w:cs="Times New Roman"/>
        </w:rPr>
        <w:t xml:space="preserve"> of source record; data access</w:t>
      </w:r>
    </w:p>
    <w:p w14:paraId="1EC2421D" w14:textId="752439BD" w:rsidR="00DA4995" w:rsidRPr="0087503B" w:rsidRDefault="00DA4995" w:rsidP="00DA499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>I</w:t>
      </w:r>
      <w:r w:rsidR="003E4626" w:rsidRPr="0087503B">
        <w:rPr>
          <w:rFonts w:ascii="Times New Roman" w:hAnsi="Times New Roman" w:cs="Times New Roman"/>
          <w:b/>
          <w:bCs/>
        </w:rPr>
        <w:t>nvestigational Product (IP)</w:t>
      </w:r>
      <w:r w:rsidRPr="0087503B">
        <w:rPr>
          <w:rFonts w:ascii="Times New Roman" w:hAnsi="Times New Roman" w:cs="Times New Roman"/>
          <w:b/>
          <w:bCs/>
        </w:rPr>
        <w:t xml:space="preserve"> </w:t>
      </w:r>
      <w:r w:rsidR="003E4626" w:rsidRPr="0087503B">
        <w:rPr>
          <w:rFonts w:ascii="Times New Roman" w:hAnsi="Times New Roman" w:cs="Times New Roman"/>
          <w:b/>
          <w:bCs/>
        </w:rPr>
        <w:t>M</w:t>
      </w:r>
      <w:r w:rsidRPr="0087503B">
        <w:rPr>
          <w:rFonts w:ascii="Times New Roman" w:hAnsi="Times New Roman" w:cs="Times New Roman"/>
          <w:b/>
          <w:bCs/>
        </w:rPr>
        <w:t>anagement:</w:t>
      </w:r>
      <w:r w:rsidRPr="0087503B">
        <w:rPr>
          <w:rFonts w:ascii="Times New Roman" w:hAnsi="Times New Roman" w:cs="Times New Roman"/>
        </w:rPr>
        <w:t xml:space="preserve"> sponsor may facilitate IP management</w:t>
      </w:r>
      <w:r w:rsidR="003E4626" w:rsidRPr="0087503B">
        <w:rPr>
          <w:rFonts w:ascii="Times New Roman" w:hAnsi="Times New Roman" w:cs="Times New Roman"/>
        </w:rPr>
        <w:t xml:space="preserve">; </w:t>
      </w:r>
      <w:r w:rsidRPr="0087503B">
        <w:rPr>
          <w:rFonts w:ascii="Times New Roman" w:hAnsi="Times New Roman" w:cs="Times New Roman"/>
        </w:rPr>
        <w:t>level of investigator oversight will depend on characteristics of IP, route and complexity of administration, levels of existing knowledge about IP’s safety, marketing status of IP</w:t>
      </w:r>
    </w:p>
    <w:p w14:paraId="1D6F0D5B" w14:textId="4B1D33D8" w:rsidR="00DA4995" w:rsidRPr="0087503B" w:rsidRDefault="00DA4995" w:rsidP="00DA499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</w:rPr>
        <w:t xml:space="preserve">Alternative approaches to IP documentation may be considered </w:t>
      </w:r>
    </w:p>
    <w:p w14:paraId="48602616" w14:textId="3602C6D8" w:rsidR="00DA4995" w:rsidRDefault="003E4626" w:rsidP="00DA499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</w:rPr>
        <w:t>C</w:t>
      </w:r>
      <w:r w:rsidR="00DA4995" w:rsidRPr="0087503B">
        <w:rPr>
          <w:rFonts w:ascii="Times New Roman" w:hAnsi="Times New Roman" w:cs="Times New Roman"/>
        </w:rPr>
        <w:t xml:space="preserve">apable </w:t>
      </w:r>
      <w:r w:rsidRPr="002172CD">
        <w:rPr>
          <w:rFonts w:ascii="Times New Roman" w:hAnsi="Times New Roman" w:cs="Times New Roman"/>
        </w:rPr>
        <w:t>of</w:t>
      </w:r>
      <w:r w:rsidR="00DA4995" w:rsidRPr="002172CD">
        <w:rPr>
          <w:rFonts w:ascii="Times New Roman" w:hAnsi="Times New Roman" w:cs="Times New Roman"/>
        </w:rPr>
        <w:t xml:space="preserve"> unblinding without undue delay and hindrance in the case of emergency</w:t>
      </w:r>
    </w:p>
    <w:p w14:paraId="051E3D26" w14:textId="5D474AB2" w:rsidR="00AD50EC" w:rsidRPr="002172CD" w:rsidRDefault="00AD50EC" w:rsidP="00DA499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AD50EC">
        <w:rPr>
          <w:rFonts w:ascii="Times New Roman" w:hAnsi="Times New Roman" w:cs="Times New Roman"/>
        </w:rPr>
        <w:t>IP may be shipped directly to participants or managed through local pharmacies</w:t>
      </w:r>
    </w:p>
    <w:p w14:paraId="1F6F8DF9" w14:textId="77777777" w:rsidR="0087503B" w:rsidRPr="002172CD" w:rsidRDefault="0087503B" w:rsidP="0087503B">
      <w:pPr>
        <w:pStyle w:val="Heading1"/>
        <w:rPr>
          <w:sz w:val="28"/>
          <w:szCs w:val="28"/>
          <w:u w:val="single"/>
        </w:rPr>
      </w:pPr>
      <w:r w:rsidRPr="002172CD">
        <w:rPr>
          <w:sz w:val="28"/>
          <w:szCs w:val="28"/>
          <w:u w:val="single"/>
        </w:rPr>
        <w:t>Data Governance</w:t>
      </w:r>
    </w:p>
    <w:p w14:paraId="5E92B978" w14:textId="4BE30D51" w:rsidR="0087503B" w:rsidRPr="002172CD" w:rsidRDefault="00E3113F" w:rsidP="008750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7503B" w:rsidRPr="002172CD">
        <w:rPr>
          <w:rFonts w:ascii="Times New Roman" w:hAnsi="Times New Roman" w:cs="Times New Roman"/>
        </w:rPr>
        <w:t>ew section that provides guidance on appropriate management of data integrity to allow accurate reporting, verification</w:t>
      </w:r>
      <w:r w:rsidR="002172CD">
        <w:rPr>
          <w:rFonts w:ascii="Times New Roman" w:hAnsi="Times New Roman" w:cs="Times New Roman"/>
        </w:rPr>
        <w:t>,</w:t>
      </w:r>
      <w:r w:rsidR="0087503B" w:rsidRPr="002172CD">
        <w:rPr>
          <w:rFonts w:ascii="Times New Roman" w:hAnsi="Times New Roman" w:cs="Times New Roman"/>
        </w:rPr>
        <w:t xml:space="preserve"> and interpretation of clinical trial-related information</w:t>
      </w:r>
      <w:r w:rsidR="002172CD">
        <w:rPr>
          <w:rFonts w:ascii="Times New Roman" w:hAnsi="Times New Roman" w:cs="Times New Roman"/>
        </w:rPr>
        <w:t>.</w:t>
      </w:r>
    </w:p>
    <w:p w14:paraId="3C988DC0" w14:textId="7D497CB3" w:rsidR="00DA4995" w:rsidRPr="00D319B3" w:rsidRDefault="00EC0B46" w:rsidP="003E4626">
      <w:pPr>
        <w:pStyle w:val="Heading1"/>
        <w:rPr>
          <w:rFonts w:eastAsiaTheme="minorHAnsi"/>
          <w:sz w:val="28"/>
          <w:szCs w:val="28"/>
          <w:u w:val="single"/>
        </w:rPr>
      </w:pPr>
      <w:r w:rsidRPr="00D319B3">
        <w:rPr>
          <w:rFonts w:eastAsiaTheme="minorHAnsi"/>
          <w:sz w:val="28"/>
          <w:szCs w:val="28"/>
          <w:u w:val="single"/>
        </w:rPr>
        <w:t>Appendices</w:t>
      </w:r>
      <w:r w:rsidR="003E4626" w:rsidRPr="00D319B3">
        <w:rPr>
          <w:rFonts w:eastAsiaTheme="minorHAnsi"/>
          <w:sz w:val="28"/>
          <w:szCs w:val="28"/>
          <w:u w:val="single"/>
        </w:rPr>
        <w:t xml:space="preserve"> </w:t>
      </w:r>
    </w:p>
    <w:p w14:paraId="0F2A82CB" w14:textId="1A78F866" w:rsidR="00EC0B46" w:rsidRPr="0087503B" w:rsidRDefault="00EC0B46" w:rsidP="00EC0B4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>Investigator’s Brochure (</w:t>
      </w:r>
      <w:proofErr w:type="spellStart"/>
      <w:r w:rsidRPr="0087503B">
        <w:rPr>
          <w:rFonts w:ascii="Times New Roman" w:hAnsi="Times New Roman" w:cs="Times New Roman"/>
          <w:b/>
          <w:bCs/>
        </w:rPr>
        <w:t>A</w:t>
      </w:r>
      <w:r w:rsidR="00FF1077">
        <w:rPr>
          <w:rFonts w:ascii="Times New Roman" w:hAnsi="Times New Roman" w:cs="Times New Roman"/>
          <w:b/>
          <w:bCs/>
        </w:rPr>
        <w:t>px</w:t>
      </w:r>
      <w:proofErr w:type="spellEnd"/>
      <w:r w:rsidRPr="0087503B">
        <w:rPr>
          <w:rFonts w:ascii="Times New Roman" w:hAnsi="Times New Roman" w:cs="Times New Roman"/>
          <w:b/>
          <w:bCs/>
        </w:rPr>
        <w:t xml:space="preserve"> A):</w:t>
      </w:r>
      <w:r w:rsidRPr="0087503B">
        <w:rPr>
          <w:rFonts w:ascii="Times New Roman" w:hAnsi="Times New Roman" w:cs="Times New Roman"/>
        </w:rPr>
        <w:t xml:space="preserve"> clarity and organizational updates</w:t>
      </w:r>
    </w:p>
    <w:p w14:paraId="0C63FE50" w14:textId="77C6C330" w:rsidR="00EC0B46" w:rsidRPr="0087503B" w:rsidRDefault="00EC0B46" w:rsidP="00EC0B4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>Protocol (</w:t>
      </w:r>
      <w:proofErr w:type="spellStart"/>
      <w:r w:rsidRPr="0087503B">
        <w:rPr>
          <w:rFonts w:ascii="Times New Roman" w:hAnsi="Times New Roman" w:cs="Times New Roman"/>
          <w:b/>
          <w:bCs/>
        </w:rPr>
        <w:t>Ap</w:t>
      </w:r>
      <w:r w:rsidR="00FF1077">
        <w:rPr>
          <w:rFonts w:ascii="Times New Roman" w:hAnsi="Times New Roman" w:cs="Times New Roman"/>
          <w:b/>
          <w:bCs/>
        </w:rPr>
        <w:t>x</w:t>
      </w:r>
      <w:proofErr w:type="spellEnd"/>
      <w:r w:rsidR="00FF1077">
        <w:rPr>
          <w:rFonts w:ascii="Times New Roman" w:hAnsi="Times New Roman" w:cs="Times New Roman"/>
          <w:b/>
          <w:bCs/>
        </w:rPr>
        <w:t xml:space="preserve"> </w:t>
      </w:r>
      <w:r w:rsidRPr="0087503B">
        <w:rPr>
          <w:rFonts w:ascii="Times New Roman" w:hAnsi="Times New Roman" w:cs="Times New Roman"/>
          <w:b/>
          <w:bCs/>
        </w:rPr>
        <w:t>B):</w:t>
      </w:r>
      <w:r w:rsidRPr="0087503B">
        <w:rPr>
          <w:rFonts w:ascii="Times New Roman" w:hAnsi="Times New Roman" w:cs="Times New Roman"/>
        </w:rPr>
        <w:t xml:space="preserve"> addresses </w:t>
      </w:r>
      <w:r w:rsidRPr="0087503B">
        <w:rPr>
          <w:rFonts w:ascii="Times New Roman" w:hAnsi="Times New Roman" w:cs="Times New Roman"/>
        </w:rPr>
        <w:t>implication for withdrawal of consent</w:t>
      </w:r>
      <w:r w:rsidR="00FF1077">
        <w:rPr>
          <w:rFonts w:ascii="Times New Roman" w:hAnsi="Times New Roman" w:cs="Times New Roman"/>
        </w:rPr>
        <w:t xml:space="preserve">/ </w:t>
      </w:r>
      <w:r w:rsidRPr="0087503B">
        <w:rPr>
          <w:rFonts w:ascii="Times New Roman" w:hAnsi="Times New Roman" w:cs="Times New Roman"/>
        </w:rPr>
        <w:t>trial discontinuation</w:t>
      </w:r>
      <w:r w:rsidRPr="0087503B">
        <w:rPr>
          <w:rFonts w:ascii="Times New Roman" w:hAnsi="Times New Roman" w:cs="Times New Roman"/>
        </w:rPr>
        <w:t xml:space="preserve"> </w:t>
      </w:r>
    </w:p>
    <w:p w14:paraId="12F45531" w14:textId="7347C646" w:rsidR="00EC0B46" w:rsidRDefault="00EC0B46" w:rsidP="00EC0B4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7503B">
        <w:rPr>
          <w:rFonts w:ascii="Times New Roman" w:hAnsi="Times New Roman" w:cs="Times New Roman"/>
          <w:b/>
          <w:bCs/>
        </w:rPr>
        <w:t>Essential Records</w:t>
      </w:r>
      <w:r w:rsidRPr="0087503B">
        <w:rPr>
          <w:rFonts w:ascii="Times New Roman" w:hAnsi="Times New Roman" w:cs="Times New Roman"/>
          <w:b/>
          <w:bCs/>
        </w:rPr>
        <w:t xml:space="preserve"> (Appendix C):</w:t>
      </w:r>
      <w:r w:rsidRPr="0087503B">
        <w:rPr>
          <w:rFonts w:ascii="Times New Roman" w:hAnsi="Times New Roman" w:cs="Times New Roman"/>
        </w:rPr>
        <w:t xml:space="preserve"> clarity and organizational updates</w:t>
      </w:r>
    </w:p>
    <w:p w14:paraId="6DA5FFFA" w14:textId="6B7133E4" w:rsidR="00157896" w:rsidRPr="0087503B" w:rsidRDefault="00157896" w:rsidP="00157896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</w:t>
      </w:r>
      <w:r w:rsidRPr="00157896">
        <w:rPr>
          <w:rFonts w:ascii="Times New Roman" w:hAnsi="Times New Roman" w:cs="Times New Roman"/>
        </w:rPr>
        <w:t xml:space="preserve">lists records applicable to </w:t>
      </w:r>
      <w:r w:rsidRPr="00157896">
        <w:rPr>
          <w:rFonts w:ascii="Times New Roman" w:hAnsi="Times New Roman" w:cs="Times New Roman"/>
          <w:i/>
          <w:iCs/>
        </w:rPr>
        <w:t>all trials</w:t>
      </w:r>
      <w:r w:rsidRPr="00157896">
        <w:rPr>
          <w:rFonts w:ascii="Times New Roman" w:hAnsi="Times New Roman" w:cs="Times New Roman"/>
        </w:rPr>
        <w:t xml:space="preserve"> and records applicable to </w:t>
      </w:r>
      <w:r w:rsidRPr="00157896">
        <w:rPr>
          <w:rFonts w:ascii="Times New Roman" w:hAnsi="Times New Roman" w:cs="Times New Roman"/>
          <w:i/>
          <w:iCs/>
        </w:rPr>
        <w:t>some trials.</w:t>
      </w:r>
    </w:p>
    <w:sectPr w:rsidR="00157896" w:rsidRPr="0087503B" w:rsidSect="003B35C9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37CE" w14:textId="77777777" w:rsidR="0022574A" w:rsidRDefault="0022574A">
      <w:r>
        <w:separator/>
      </w:r>
    </w:p>
  </w:endnote>
  <w:endnote w:type="continuationSeparator" w:id="0">
    <w:p w14:paraId="4A55D0F5" w14:textId="77777777" w:rsidR="0022574A" w:rsidRDefault="0022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58D" w14:textId="7EB2D119" w:rsidR="001F153C" w:rsidRPr="008A0B17" w:rsidRDefault="004D1B64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3814EE" wp14:editId="4B3300CF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8E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7E273" wp14:editId="551AE848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74375" id="AutoShape 8" o:spid="_x0000_s1026" type="#_x0000_t32" style="position:absolute;margin-left:-73.05pt;margin-top:2.8pt;width:85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</w:p>
  <w:p w14:paraId="36FE5E03" w14:textId="6FADD2A0" w:rsidR="00DD2D70" w:rsidRDefault="00405177" w:rsidP="00DD2D70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18"/>
        <w:szCs w:val="18"/>
      </w:rPr>
      <w:t>ICH-GCP E6(R3)</w:t>
    </w:r>
  </w:p>
  <w:p w14:paraId="04BB3701" w14:textId="06498520" w:rsidR="001F153C" w:rsidRPr="007E2EAA" w:rsidRDefault="001F153C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63B9" w14:textId="77777777" w:rsidR="0022574A" w:rsidRDefault="0022574A">
      <w:r>
        <w:separator/>
      </w:r>
    </w:p>
  </w:footnote>
  <w:footnote w:type="continuationSeparator" w:id="0">
    <w:p w14:paraId="4A8CB584" w14:textId="77777777" w:rsidR="0022574A" w:rsidRDefault="0022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1318" w14:textId="2BBED190" w:rsidR="001F153C" w:rsidRDefault="003B35C9" w:rsidP="00405177">
    <w:pPr>
      <w:tabs>
        <w:tab w:val="center" w:pos="6390"/>
      </w:tabs>
      <w:autoSpaceDE w:val="0"/>
      <w:autoSpaceDN w:val="0"/>
      <w:adjustRightInd w:val="0"/>
      <w:rPr>
        <w:rFonts w:ascii="Calibri" w:hAnsi="Calibri" w:cs="Arial"/>
        <w:b/>
        <w:sz w:val="28"/>
        <w:szCs w:val="28"/>
      </w:rPr>
    </w:pPr>
    <w:r w:rsidRPr="003B35C9">
      <w:rPr>
        <w:rFonts w:ascii="Calibri" w:hAnsi="Calibri" w:cs="Arial"/>
        <w:b/>
        <w:sz w:val="32"/>
        <w:szCs w:val="32"/>
      </w:rPr>
      <w:drawing>
        <wp:anchor distT="0" distB="0" distL="114300" distR="114300" simplePos="0" relativeHeight="251660800" behindDoc="0" locked="0" layoutInCell="1" allowOverlap="1" wp14:anchorId="5D1459BA" wp14:editId="0BA39E0C">
          <wp:simplePos x="0" y="0"/>
          <wp:positionH relativeFrom="column">
            <wp:posOffset>-772234</wp:posOffset>
          </wp:positionH>
          <wp:positionV relativeFrom="paragraph">
            <wp:posOffset>-340360</wp:posOffset>
          </wp:positionV>
          <wp:extent cx="2302510" cy="561340"/>
          <wp:effectExtent l="0" t="0" r="2540" b="0"/>
          <wp:wrapSquare wrapText="bothSides"/>
          <wp:docPr id="205157243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7243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51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177" w:rsidRPr="00405177">
      <w:rPr>
        <w:rFonts w:ascii="Calibri" w:hAnsi="Calibri" w:cs="Arial"/>
        <w:b/>
        <w:sz w:val="32"/>
        <w:szCs w:val="32"/>
      </w:rPr>
      <w:t>ICH-GCP E6(R3) Summary of Changes</w:t>
    </w:r>
  </w:p>
  <w:p w14:paraId="390F8BC1" w14:textId="77777777" w:rsidR="00405177" w:rsidRPr="007E5C42" w:rsidRDefault="00405177" w:rsidP="00405177">
    <w:pPr>
      <w:tabs>
        <w:tab w:val="center" w:pos="6390"/>
      </w:tabs>
      <w:autoSpaceDE w:val="0"/>
      <w:autoSpaceDN w:val="0"/>
      <w:adjustRightInd w:val="0"/>
      <w:jc w:val="center"/>
      <w:rPr>
        <w:rFonts w:ascii="Calibri" w:hAnsi="Calibri" w:cs="Arial"/>
        <w:b/>
        <w:sz w:val="28"/>
        <w:szCs w:val="28"/>
      </w:rPr>
    </w:pPr>
  </w:p>
  <w:p w14:paraId="26263043" w14:textId="7EC49B71" w:rsidR="001F153C" w:rsidRDefault="004D1B64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E2B765" wp14:editId="4FBF73A7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9BF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27390" wp14:editId="0D7CF13B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97B865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3297"/>
    <w:multiLevelType w:val="hybridMultilevel"/>
    <w:tmpl w:val="2FF66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422EC"/>
    <w:multiLevelType w:val="hybridMultilevel"/>
    <w:tmpl w:val="C5D4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0A00"/>
    <w:multiLevelType w:val="hybridMultilevel"/>
    <w:tmpl w:val="CA44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A5B33"/>
    <w:multiLevelType w:val="hybridMultilevel"/>
    <w:tmpl w:val="0E7C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1217"/>
    <w:multiLevelType w:val="hybridMultilevel"/>
    <w:tmpl w:val="8318C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27010"/>
    <w:multiLevelType w:val="hybridMultilevel"/>
    <w:tmpl w:val="B5040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E581A"/>
    <w:multiLevelType w:val="hybridMultilevel"/>
    <w:tmpl w:val="5BCE5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B5778"/>
    <w:multiLevelType w:val="hybridMultilevel"/>
    <w:tmpl w:val="B2A02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92E28"/>
    <w:multiLevelType w:val="hybridMultilevel"/>
    <w:tmpl w:val="BC860B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2C922A08"/>
    <w:multiLevelType w:val="hybridMultilevel"/>
    <w:tmpl w:val="53A8A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64E9F"/>
    <w:multiLevelType w:val="hybridMultilevel"/>
    <w:tmpl w:val="FABA7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A10D30"/>
    <w:multiLevelType w:val="hybridMultilevel"/>
    <w:tmpl w:val="3094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609863AD"/>
    <w:multiLevelType w:val="hybridMultilevel"/>
    <w:tmpl w:val="49A47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E19EC"/>
    <w:multiLevelType w:val="hybridMultilevel"/>
    <w:tmpl w:val="676A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31B56"/>
    <w:multiLevelType w:val="hybridMultilevel"/>
    <w:tmpl w:val="DE42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F08A1"/>
    <w:multiLevelType w:val="hybridMultilevel"/>
    <w:tmpl w:val="13B2EC6A"/>
    <w:lvl w:ilvl="0" w:tplc="FA1A6004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4201E"/>
    <w:multiLevelType w:val="hybridMultilevel"/>
    <w:tmpl w:val="BC2A1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CE5FFB"/>
    <w:multiLevelType w:val="hybridMultilevel"/>
    <w:tmpl w:val="F7A0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743703">
    <w:abstractNumId w:val="12"/>
  </w:num>
  <w:num w:numId="2" w16cid:durableId="1216311416">
    <w:abstractNumId w:val="16"/>
  </w:num>
  <w:num w:numId="3" w16cid:durableId="1747218800">
    <w:abstractNumId w:val="8"/>
  </w:num>
  <w:num w:numId="4" w16cid:durableId="1348403814">
    <w:abstractNumId w:val="1"/>
  </w:num>
  <w:num w:numId="5" w16cid:durableId="1498376127">
    <w:abstractNumId w:val="15"/>
  </w:num>
  <w:num w:numId="6" w16cid:durableId="1286349265">
    <w:abstractNumId w:val="0"/>
  </w:num>
  <w:num w:numId="7" w16cid:durableId="1482698110">
    <w:abstractNumId w:val="17"/>
  </w:num>
  <w:num w:numId="8" w16cid:durableId="875771727">
    <w:abstractNumId w:val="4"/>
  </w:num>
  <w:num w:numId="9" w16cid:durableId="1067872704">
    <w:abstractNumId w:val="5"/>
  </w:num>
  <w:num w:numId="10" w16cid:durableId="1084883031">
    <w:abstractNumId w:val="10"/>
  </w:num>
  <w:num w:numId="11" w16cid:durableId="1772428991">
    <w:abstractNumId w:val="9"/>
  </w:num>
  <w:num w:numId="12" w16cid:durableId="1218393585">
    <w:abstractNumId w:val="2"/>
  </w:num>
  <w:num w:numId="13" w16cid:durableId="1052462664">
    <w:abstractNumId w:val="18"/>
  </w:num>
  <w:num w:numId="14" w16cid:durableId="338317986">
    <w:abstractNumId w:val="14"/>
  </w:num>
  <w:num w:numId="15" w16cid:durableId="1827472324">
    <w:abstractNumId w:val="7"/>
  </w:num>
  <w:num w:numId="16" w16cid:durableId="1569804334">
    <w:abstractNumId w:val="11"/>
  </w:num>
  <w:num w:numId="17" w16cid:durableId="385833553">
    <w:abstractNumId w:val="6"/>
  </w:num>
  <w:num w:numId="18" w16cid:durableId="1062600724">
    <w:abstractNumId w:val="3"/>
  </w:num>
  <w:num w:numId="19" w16cid:durableId="202062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sTSwMDE0MrMwMTZT0lEKTi0uzszPAykwrAUAPxafnywAAAA="/>
  </w:docVars>
  <w:rsids>
    <w:rsidRoot w:val="00ED04B8"/>
    <w:rsid w:val="00010999"/>
    <w:rsid w:val="0001660B"/>
    <w:rsid w:val="00047532"/>
    <w:rsid w:val="000638B2"/>
    <w:rsid w:val="00072DA7"/>
    <w:rsid w:val="00077B0C"/>
    <w:rsid w:val="00090E9A"/>
    <w:rsid w:val="00092131"/>
    <w:rsid w:val="000E5113"/>
    <w:rsid w:val="000E74C5"/>
    <w:rsid w:val="000F4EB8"/>
    <w:rsid w:val="000F57AC"/>
    <w:rsid w:val="00110644"/>
    <w:rsid w:val="001116A6"/>
    <w:rsid w:val="00157896"/>
    <w:rsid w:val="001821B2"/>
    <w:rsid w:val="001868BA"/>
    <w:rsid w:val="001F153C"/>
    <w:rsid w:val="00205294"/>
    <w:rsid w:val="002172CD"/>
    <w:rsid w:val="0022574A"/>
    <w:rsid w:val="0026683A"/>
    <w:rsid w:val="0027437A"/>
    <w:rsid w:val="00277CBC"/>
    <w:rsid w:val="00295D2B"/>
    <w:rsid w:val="002C27C9"/>
    <w:rsid w:val="002D006A"/>
    <w:rsid w:val="002D46D5"/>
    <w:rsid w:val="002E29E0"/>
    <w:rsid w:val="00301744"/>
    <w:rsid w:val="00307FB9"/>
    <w:rsid w:val="00360394"/>
    <w:rsid w:val="00363ABE"/>
    <w:rsid w:val="003906B5"/>
    <w:rsid w:val="0039153A"/>
    <w:rsid w:val="003958BB"/>
    <w:rsid w:val="00396042"/>
    <w:rsid w:val="003B35C9"/>
    <w:rsid w:val="003E4626"/>
    <w:rsid w:val="003E5E67"/>
    <w:rsid w:val="0040352C"/>
    <w:rsid w:val="00405177"/>
    <w:rsid w:val="00412384"/>
    <w:rsid w:val="00422932"/>
    <w:rsid w:val="00453C92"/>
    <w:rsid w:val="00467E9E"/>
    <w:rsid w:val="004B776D"/>
    <w:rsid w:val="004D1B64"/>
    <w:rsid w:val="004E1A1D"/>
    <w:rsid w:val="004E20C1"/>
    <w:rsid w:val="004F186D"/>
    <w:rsid w:val="00515716"/>
    <w:rsid w:val="00521681"/>
    <w:rsid w:val="00573905"/>
    <w:rsid w:val="0058033A"/>
    <w:rsid w:val="00586244"/>
    <w:rsid w:val="005A219A"/>
    <w:rsid w:val="005A78C2"/>
    <w:rsid w:val="005C6620"/>
    <w:rsid w:val="005D60DF"/>
    <w:rsid w:val="005E40B1"/>
    <w:rsid w:val="005F25DB"/>
    <w:rsid w:val="00616C2B"/>
    <w:rsid w:val="00622501"/>
    <w:rsid w:val="006326E1"/>
    <w:rsid w:val="00672F21"/>
    <w:rsid w:val="0067525D"/>
    <w:rsid w:val="006D2277"/>
    <w:rsid w:val="006D7254"/>
    <w:rsid w:val="006D7918"/>
    <w:rsid w:val="006F0AF4"/>
    <w:rsid w:val="006F6E9E"/>
    <w:rsid w:val="0071344D"/>
    <w:rsid w:val="00733A87"/>
    <w:rsid w:val="00737922"/>
    <w:rsid w:val="00772E26"/>
    <w:rsid w:val="007806D8"/>
    <w:rsid w:val="007C0815"/>
    <w:rsid w:val="007E0D41"/>
    <w:rsid w:val="007E2EAA"/>
    <w:rsid w:val="007E512E"/>
    <w:rsid w:val="007E5C42"/>
    <w:rsid w:val="007F763E"/>
    <w:rsid w:val="00812F39"/>
    <w:rsid w:val="008431A5"/>
    <w:rsid w:val="00845F67"/>
    <w:rsid w:val="00846322"/>
    <w:rsid w:val="008501FD"/>
    <w:rsid w:val="00861C0D"/>
    <w:rsid w:val="0087503B"/>
    <w:rsid w:val="008754D9"/>
    <w:rsid w:val="00880A68"/>
    <w:rsid w:val="00887FFC"/>
    <w:rsid w:val="00894984"/>
    <w:rsid w:val="008A0B17"/>
    <w:rsid w:val="008A27EC"/>
    <w:rsid w:val="008B693B"/>
    <w:rsid w:val="008C4B08"/>
    <w:rsid w:val="008E7DBF"/>
    <w:rsid w:val="00911111"/>
    <w:rsid w:val="009156C6"/>
    <w:rsid w:val="00921371"/>
    <w:rsid w:val="009339C0"/>
    <w:rsid w:val="00947322"/>
    <w:rsid w:val="009566F2"/>
    <w:rsid w:val="00973F39"/>
    <w:rsid w:val="009806A4"/>
    <w:rsid w:val="009B1150"/>
    <w:rsid w:val="009B5753"/>
    <w:rsid w:val="009B667D"/>
    <w:rsid w:val="009E2598"/>
    <w:rsid w:val="009E26FD"/>
    <w:rsid w:val="009E360B"/>
    <w:rsid w:val="009E4095"/>
    <w:rsid w:val="009E478A"/>
    <w:rsid w:val="00A10D92"/>
    <w:rsid w:val="00A157D3"/>
    <w:rsid w:val="00A27648"/>
    <w:rsid w:val="00A46738"/>
    <w:rsid w:val="00A743D7"/>
    <w:rsid w:val="00A9156F"/>
    <w:rsid w:val="00AD2E2E"/>
    <w:rsid w:val="00AD50EC"/>
    <w:rsid w:val="00AE179D"/>
    <w:rsid w:val="00AF68CC"/>
    <w:rsid w:val="00B00969"/>
    <w:rsid w:val="00B042B4"/>
    <w:rsid w:val="00B07282"/>
    <w:rsid w:val="00B107FB"/>
    <w:rsid w:val="00B27146"/>
    <w:rsid w:val="00B57E9F"/>
    <w:rsid w:val="00B730CD"/>
    <w:rsid w:val="00B97FC7"/>
    <w:rsid w:val="00BB0651"/>
    <w:rsid w:val="00BB2168"/>
    <w:rsid w:val="00BE74E0"/>
    <w:rsid w:val="00BF5C3D"/>
    <w:rsid w:val="00BF6237"/>
    <w:rsid w:val="00BF6596"/>
    <w:rsid w:val="00C93445"/>
    <w:rsid w:val="00D012D5"/>
    <w:rsid w:val="00D03C38"/>
    <w:rsid w:val="00D24911"/>
    <w:rsid w:val="00D319B3"/>
    <w:rsid w:val="00D374BF"/>
    <w:rsid w:val="00D551CC"/>
    <w:rsid w:val="00D6598A"/>
    <w:rsid w:val="00D6682A"/>
    <w:rsid w:val="00D73829"/>
    <w:rsid w:val="00D80F4A"/>
    <w:rsid w:val="00DA4995"/>
    <w:rsid w:val="00DA6617"/>
    <w:rsid w:val="00DC3D98"/>
    <w:rsid w:val="00DD2D70"/>
    <w:rsid w:val="00DF16E7"/>
    <w:rsid w:val="00E122DB"/>
    <w:rsid w:val="00E159CC"/>
    <w:rsid w:val="00E15D38"/>
    <w:rsid w:val="00E3113F"/>
    <w:rsid w:val="00E343EE"/>
    <w:rsid w:val="00E40ADD"/>
    <w:rsid w:val="00E45E41"/>
    <w:rsid w:val="00E540CB"/>
    <w:rsid w:val="00E5751F"/>
    <w:rsid w:val="00E60110"/>
    <w:rsid w:val="00E617F3"/>
    <w:rsid w:val="00E76F59"/>
    <w:rsid w:val="00E86161"/>
    <w:rsid w:val="00E9429E"/>
    <w:rsid w:val="00E94EE7"/>
    <w:rsid w:val="00EA7705"/>
    <w:rsid w:val="00EB02CD"/>
    <w:rsid w:val="00EB0ABE"/>
    <w:rsid w:val="00EC0B46"/>
    <w:rsid w:val="00ED04B8"/>
    <w:rsid w:val="00EF2CDD"/>
    <w:rsid w:val="00EF59C9"/>
    <w:rsid w:val="00EF79C6"/>
    <w:rsid w:val="00F4057E"/>
    <w:rsid w:val="00F467F4"/>
    <w:rsid w:val="00F620C8"/>
    <w:rsid w:val="00F87AA4"/>
    <w:rsid w:val="00FA1727"/>
    <w:rsid w:val="00FB5E91"/>
    <w:rsid w:val="00FD3FB1"/>
    <w:rsid w:val="00FD4574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68c16"/>
    </o:shapedefaults>
    <o:shapelayout v:ext="edit">
      <o:idmap v:ext="edit" data="2"/>
    </o:shapelayout>
  </w:shapeDefaults>
  <w:decimalSymbol w:val="."/>
  <w:listSeparator w:val=","/>
  <w14:docId w14:val="1A7DB242"/>
  <w15:chartTrackingRefBased/>
  <w15:docId w15:val="{6384CD26-FC35-4261-9DBB-043EB40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15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D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D3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E15D38"/>
    <w:rPr>
      <w:b/>
      <w:bCs/>
    </w:rPr>
  </w:style>
  <w:style w:type="character" w:customStyle="1" w:styleId="FooterChar">
    <w:name w:val="Footer Char"/>
    <w:link w:val="Footer"/>
    <w:uiPriority w:val="99"/>
    <w:semiHidden/>
    <w:rsid w:val="00F4057E"/>
  </w:style>
  <w:style w:type="character" w:styleId="UnresolvedMention">
    <w:name w:val="Unresolved Mention"/>
    <w:uiPriority w:val="99"/>
    <w:semiHidden/>
    <w:unhideWhenUsed/>
    <w:rsid w:val="009B6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1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911111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2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57B13-4643-4E21-AFFF-F3141FF29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65DFD-3169-4F60-AD04-C1DCC8F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9D781-A33F-4DE8-84AC-EF9E2D61B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669</Words>
  <Characters>4406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5069</CharactersWithSpaces>
  <SharedDoc>false</SharedDoc>
  <HLinks>
    <vt:vector size="18" baseType="variant">
      <vt:variant>
        <vt:i4>6291535</vt:i4>
      </vt:variant>
      <vt:variant>
        <vt:i4>20</vt:i4>
      </vt:variant>
      <vt:variant>
        <vt:i4>0</vt:i4>
      </vt:variant>
      <vt:variant>
        <vt:i4>5</vt:i4>
      </vt:variant>
      <vt:variant>
        <vt:lpwstr>http://www.or.emory.edu/research-compliance/oric/documents1/S-I_IDE_Responsibilities_Form.docx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new S-I.doc</vt:lpwstr>
      </vt:variant>
      <vt:variant>
        <vt:lpwstr/>
      </vt:variant>
      <vt:variant>
        <vt:i4>3014763</vt:i4>
      </vt:variant>
      <vt:variant>
        <vt:i4>2</vt:i4>
      </vt:variant>
      <vt:variant>
        <vt:i4>0</vt:i4>
      </vt:variant>
      <vt:variant>
        <vt:i4>5</vt:i4>
      </vt:variant>
      <vt:variant>
        <vt:lpwstr>http://www.or.emory.edu/research-compliance/oric/documents1/IDE transfer request template transferrring S-I 1 14 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subject/>
  <dc:creator>Information Systems</dc:creator>
  <cp:keywords/>
  <cp:lastModifiedBy>Salazar, Thomas</cp:lastModifiedBy>
  <cp:revision>6</cp:revision>
  <cp:lastPrinted>2013-01-03T15:42:00Z</cp:lastPrinted>
  <dcterms:created xsi:type="dcterms:W3CDTF">2025-03-18T21:40:00Z</dcterms:created>
  <dcterms:modified xsi:type="dcterms:W3CDTF">2025-03-19T18:53:00Z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GrammarlyDocumentId">
    <vt:lpwstr>8a6940ef8a9416f486032e4e14550a2cf4f00bcf6d031bff77cbd8b0757bce50</vt:lpwstr>
  </property>
</Properties>
</file>